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E62" w:rsidRPr="00C42E62" w:rsidRDefault="00C42E62" w:rsidP="00C42E62">
      <w:pPr>
        <w:pStyle w:val="Title"/>
        <w:rPr>
          <w:b/>
          <w:color w:val="2E74B5" w:themeColor="accent1" w:themeShade="BF"/>
          <w:sz w:val="36"/>
          <w:szCs w:val="36"/>
          <w:lang w:val="en-US"/>
        </w:rPr>
      </w:pPr>
      <w:r w:rsidRPr="00C42E62">
        <w:rPr>
          <w:rFonts w:ascii="Arial" w:hAnsi="Arial" w:cs="Arial"/>
          <w:b/>
          <w:noProof/>
          <w:lang w:eastAsia="en-CA"/>
        </w:rPr>
        <w:drawing>
          <wp:anchor distT="0" distB="0" distL="114300" distR="114300" simplePos="0" relativeHeight="251659264" behindDoc="1" locked="0" layoutInCell="1" allowOverlap="1" wp14:anchorId="4C951E5D" wp14:editId="0FBAA30A">
            <wp:simplePos x="0" y="0"/>
            <wp:positionH relativeFrom="column">
              <wp:posOffset>3659033</wp:posOffset>
            </wp:positionH>
            <wp:positionV relativeFrom="paragraph">
              <wp:posOffset>2540</wp:posOffset>
            </wp:positionV>
            <wp:extent cx="2684145" cy="874395"/>
            <wp:effectExtent l="0" t="0" r="1905" b="1905"/>
            <wp:wrapTight wrapText="bothSides">
              <wp:wrapPolygon edited="0">
                <wp:start x="0" y="0"/>
                <wp:lineTo x="0" y="21176"/>
                <wp:lineTo x="21462" y="21176"/>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REN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4145" cy="874395"/>
                    </a:xfrm>
                    <a:prstGeom prst="rect">
                      <a:avLst/>
                    </a:prstGeom>
                  </pic:spPr>
                </pic:pic>
              </a:graphicData>
            </a:graphic>
            <wp14:sizeRelH relativeFrom="page">
              <wp14:pctWidth>0</wp14:pctWidth>
            </wp14:sizeRelH>
            <wp14:sizeRelV relativeFrom="page">
              <wp14:pctHeight>0</wp14:pctHeight>
            </wp14:sizeRelV>
          </wp:anchor>
        </w:drawing>
      </w:r>
      <w:r w:rsidRPr="00C42E62">
        <w:rPr>
          <w:b/>
          <w:color w:val="2E74B5" w:themeColor="accent1" w:themeShade="BF"/>
          <w:sz w:val="36"/>
          <w:szCs w:val="36"/>
          <w:lang w:val="en-US"/>
        </w:rPr>
        <w:t xml:space="preserve">Job Aid: Employment Related Financial </w:t>
      </w:r>
      <w:r>
        <w:rPr>
          <w:b/>
          <w:color w:val="2E74B5" w:themeColor="accent1" w:themeShade="BF"/>
          <w:sz w:val="36"/>
          <w:szCs w:val="36"/>
          <w:lang w:val="en-US"/>
        </w:rPr>
        <w:t>Supports for Clients and Employers</w:t>
      </w:r>
    </w:p>
    <w:p w:rsidR="00C42E62" w:rsidRDefault="00C42E62" w:rsidP="0090370F">
      <w:pPr>
        <w:rPr>
          <w:b/>
          <w:sz w:val="24"/>
          <w:szCs w:val="24"/>
          <w:lang w:val="en-US"/>
        </w:rPr>
      </w:pPr>
    </w:p>
    <w:p w:rsidR="0090370F" w:rsidRPr="0090370F" w:rsidRDefault="00F22E35" w:rsidP="0090370F">
      <w:pPr>
        <w:rPr>
          <w:b/>
          <w:sz w:val="24"/>
          <w:szCs w:val="24"/>
          <w:lang w:val="en-US"/>
        </w:rPr>
      </w:pPr>
      <w:r>
        <w:rPr>
          <w:b/>
          <w:sz w:val="24"/>
          <w:szCs w:val="24"/>
          <w:lang w:val="en-US"/>
        </w:rPr>
        <w:t>1.0 Overview of Standard Process using Employment Related Financial Supports (ERFS)</w:t>
      </w:r>
    </w:p>
    <w:tbl>
      <w:tblPr>
        <w:tblStyle w:val="TableGrid"/>
        <w:tblpPr w:leftFromText="180" w:rightFromText="180" w:vertAnchor="text" w:horzAnchor="margin" w:tblpY="101"/>
        <w:tblW w:w="0" w:type="auto"/>
        <w:tblLook w:val="04A0" w:firstRow="1" w:lastRow="0" w:firstColumn="1" w:lastColumn="0" w:noHBand="0" w:noVBand="1"/>
      </w:tblPr>
      <w:tblGrid>
        <w:gridCol w:w="871"/>
        <w:gridCol w:w="830"/>
        <w:gridCol w:w="1701"/>
        <w:gridCol w:w="709"/>
      </w:tblGrid>
      <w:tr w:rsidR="00BA5D1F" w:rsidTr="00BA5D1F">
        <w:trPr>
          <w:trHeight w:val="101"/>
        </w:trPr>
        <w:tc>
          <w:tcPr>
            <w:tcW w:w="871" w:type="dxa"/>
          </w:tcPr>
          <w:p w:rsidR="00BA5D1F" w:rsidRPr="005008CC" w:rsidRDefault="00BA5D1F" w:rsidP="00BA5D1F">
            <w:pPr>
              <w:jc w:val="center"/>
              <w:rPr>
                <w:b/>
              </w:rPr>
            </w:pPr>
            <w:r w:rsidRPr="005008CC">
              <w:rPr>
                <w:b/>
              </w:rPr>
              <w:t>Legend</w:t>
            </w:r>
          </w:p>
        </w:tc>
        <w:tc>
          <w:tcPr>
            <w:tcW w:w="830" w:type="dxa"/>
            <w:shd w:val="clear" w:color="auto" w:fill="FFF2CC" w:themeFill="accent4" w:themeFillTint="33"/>
          </w:tcPr>
          <w:p w:rsidR="00BA5D1F" w:rsidRPr="005008CC" w:rsidRDefault="00BA5D1F" w:rsidP="00BA5D1F">
            <w:pPr>
              <w:jc w:val="center"/>
              <w:rPr>
                <w:b/>
              </w:rPr>
            </w:pPr>
            <w:r w:rsidRPr="005008CC">
              <w:rPr>
                <w:b/>
              </w:rPr>
              <w:t>Client</w:t>
            </w:r>
          </w:p>
        </w:tc>
        <w:tc>
          <w:tcPr>
            <w:tcW w:w="1701" w:type="dxa"/>
            <w:shd w:val="clear" w:color="auto" w:fill="F7CAAC" w:themeFill="accent2" w:themeFillTint="66"/>
          </w:tcPr>
          <w:p w:rsidR="00BA5D1F" w:rsidRPr="005008CC" w:rsidRDefault="00BA5D1F" w:rsidP="00BA5D1F">
            <w:pPr>
              <w:jc w:val="center"/>
              <w:rPr>
                <w:b/>
              </w:rPr>
            </w:pPr>
            <w:r w:rsidRPr="005008CC">
              <w:rPr>
                <w:b/>
              </w:rPr>
              <w:t>Service Provide</w:t>
            </w:r>
            <w:r>
              <w:rPr>
                <w:b/>
              </w:rPr>
              <w:t>r</w:t>
            </w:r>
          </w:p>
        </w:tc>
        <w:tc>
          <w:tcPr>
            <w:tcW w:w="709" w:type="dxa"/>
            <w:shd w:val="clear" w:color="auto" w:fill="BDD6EE" w:themeFill="accent1" w:themeFillTint="66"/>
          </w:tcPr>
          <w:p w:rsidR="00BA5D1F" w:rsidRPr="005008CC" w:rsidRDefault="00BA5D1F" w:rsidP="00BA5D1F">
            <w:pPr>
              <w:jc w:val="center"/>
              <w:rPr>
                <w:b/>
              </w:rPr>
            </w:pPr>
            <w:r w:rsidRPr="005008CC">
              <w:rPr>
                <w:b/>
              </w:rPr>
              <w:t>SSM</w:t>
            </w:r>
          </w:p>
        </w:tc>
      </w:tr>
    </w:tbl>
    <w:p w:rsidR="003C7B9E" w:rsidRDefault="003C7B9E" w:rsidP="0076503F"/>
    <w:tbl>
      <w:tblPr>
        <w:tblStyle w:val="TableGrid"/>
        <w:tblW w:w="0" w:type="auto"/>
        <w:tblLook w:val="04A0" w:firstRow="1" w:lastRow="0" w:firstColumn="1" w:lastColumn="0" w:noHBand="0" w:noVBand="1"/>
      </w:tblPr>
      <w:tblGrid>
        <w:gridCol w:w="1978"/>
        <w:gridCol w:w="1835"/>
        <w:gridCol w:w="5517"/>
      </w:tblGrid>
      <w:tr w:rsidR="007161F6" w:rsidTr="00297FDE">
        <w:tc>
          <w:tcPr>
            <w:tcW w:w="1978" w:type="dxa"/>
            <w:tcBorders>
              <w:top w:val="single" w:sz="12" w:space="0" w:color="auto"/>
              <w:left w:val="single" w:sz="12" w:space="0" w:color="auto"/>
              <w:bottom w:val="single" w:sz="12" w:space="0" w:color="auto"/>
            </w:tcBorders>
            <w:shd w:val="clear" w:color="auto" w:fill="E2EFD9" w:themeFill="accent6" w:themeFillTint="33"/>
          </w:tcPr>
          <w:p w:rsidR="007161F6" w:rsidRPr="000A4644" w:rsidRDefault="00DB068A" w:rsidP="003214B0">
            <w:pPr>
              <w:jc w:val="center"/>
              <w:rPr>
                <w:b/>
              </w:rPr>
            </w:pPr>
            <w:r>
              <w:rPr>
                <w:b/>
              </w:rPr>
              <w:t xml:space="preserve">General </w:t>
            </w:r>
            <w:r w:rsidR="007161F6" w:rsidRPr="000A4644">
              <w:rPr>
                <w:b/>
              </w:rPr>
              <w:t>Process</w:t>
            </w:r>
          </w:p>
        </w:tc>
        <w:tc>
          <w:tcPr>
            <w:tcW w:w="1835" w:type="dxa"/>
            <w:tcBorders>
              <w:top w:val="single" w:sz="12" w:space="0" w:color="auto"/>
              <w:bottom w:val="single" w:sz="12" w:space="0" w:color="auto"/>
            </w:tcBorders>
            <w:shd w:val="clear" w:color="auto" w:fill="C5E0B3" w:themeFill="accent6" w:themeFillTint="66"/>
          </w:tcPr>
          <w:p w:rsidR="007161F6" w:rsidRPr="000D41E8" w:rsidRDefault="007161F6" w:rsidP="003214B0">
            <w:pPr>
              <w:jc w:val="center"/>
              <w:rPr>
                <w:b/>
              </w:rPr>
            </w:pPr>
            <w:r w:rsidRPr="000D41E8">
              <w:rPr>
                <w:b/>
              </w:rPr>
              <w:t>Responsibility</w:t>
            </w:r>
          </w:p>
        </w:tc>
        <w:tc>
          <w:tcPr>
            <w:tcW w:w="5517" w:type="dxa"/>
            <w:tcBorders>
              <w:top w:val="single" w:sz="12" w:space="0" w:color="auto"/>
              <w:bottom w:val="single" w:sz="12" w:space="0" w:color="auto"/>
              <w:right w:val="single" w:sz="12" w:space="0" w:color="auto"/>
            </w:tcBorders>
            <w:shd w:val="clear" w:color="auto" w:fill="C5E0B3" w:themeFill="accent6" w:themeFillTint="66"/>
          </w:tcPr>
          <w:p w:rsidR="007161F6" w:rsidRPr="003214B0" w:rsidRDefault="007161F6" w:rsidP="003214B0">
            <w:pPr>
              <w:jc w:val="center"/>
              <w:rPr>
                <w:b/>
              </w:rPr>
            </w:pPr>
            <w:r w:rsidRPr="003214B0">
              <w:rPr>
                <w:b/>
              </w:rPr>
              <w:t>Steps</w:t>
            </w:r>
          </w:p>
        </w:tc>
      </w:tr>
      <w:tr w:rsidR="008C3A34" w:rsidTr="002A6135">
        <w:trPr>
          <w:trHeight w:val="395"/>
        </w:trPr>
        <w:tc>
          <w:tcPr>
            <w:tcW w:w="1978" w:type="dxa"/>
            <w:tcBorders>
              <w:top w:val="single" w:sz="12" w:space="0" w:color="auto"/>
              <w:left w:val="single" w:sz="12" w:space="0" w:color="auto"/>
              <w:bottom w:val="single" w:sz="12" w:space="0" w:color="auto"/>
            </w:tcBorders>
            <w:shd w:val="clear" w:color="auto" w:fill="E2EFD9" w:themeFill="accent6" w:themeFillTint="33"/>
          </w:tcPr>
          <w:p w:rsidR="00567E5D" w:rsidRDefault="00567E5D" w:rsidP="008C3A34">
            <w:pPr>
              <w:rPr>
                <w:b/>
              </w:rPr>
            </w:pPr>
          </w:p>
          <w:p w:rsidR="008C3A34" w:rsidRPr="000A4644" w:rsidRDefault="008C3A34" w:rsidP="00567E5D">
            <w:pPr>
              <w:jc w:val="center"/>
              <w:rPr>
                <w:b/>
              </w:rPr>
            </w:pPr>
            <w:r w:rsidRPr="000A4644">
              <w:rPr>
                <w:b/>
              </w:rPr>
              <w:t>Request Financial Assistance</w:t>
            </w:r>
          </w:p>
        </w:tc>
        <w:tc>
          <w:tcPr>
            <w:tcW w:w="1835" w:type="dxa"/>
            <w:tcBorders>
              <w:top w:val="single" w:sz="12" w:space="0" w:color="auto"/>
              <w:bottom w:val="single" w:sz="12" w:space="0" w:color="auto"/>
            </w:tcBorders>
            <w:shd w:val="clear" w:color="auto" w:fill="FFF2CC" w:themeFill="accent4" w:themeFillTint="33"/>
          </w:tcPr>
          <w:p w:rsidR="003214B0" w:rsidRDefault="003214B0" w:rsidP="000D41E8">
            <w:pPr>
              <w:jc w:val="center"/>
              <w:rPr>
                <w:b/>
              </w:rPr>
            </w:pPr>
          </w:p>
          <w:p w:rsidR="008C3A34" w:rsidRPr="000D41E8" w:rsidRDefault="008C3A34" w:rsidP="000D41E8">
            <w:pPr>
              <w:jc w:val="center"/>
              <w:rPr>
                <w:b/>
              </w:rPr>
            </w:pPr>
            <w:r w:rsidRPr="000D41E8">
              <w:rPr>
                <w:b/>
              </w:rPr>
              <w:t>Client</w:t>
            </w:r>
          </w:p>
        </w:tc>
        <w:tc>
          <w:tcPr>
            <w:tcW w:w="5517" w:type="dxa"/>
            <w:tcBorders>
              <w:top w:val="single" w:sz="12" w:space="0" w:color="auto"/>
              <w:bottom w:val="single" w:sz="12" w:space="0" w:color="auto"/>
              <w:right w:val="single" w:sz="12" w:space="0" w:color="auto"/>
            </w:tcBorders>
            <w:shd w:val="clear" w:color="auto" w:fill="FFF2CC" w:themeFill="accent4" w:themeFillTint="33"/>
          </w:tcPr>
          <w:p w:rsidR="008C3A34" w:rsidRDefault="00C8231A" w:rsidP="00C8231A">
            <w:pPr>
              <w:pStyle w:val="ListParagraph"/>
              <w:numPr>
                <w:ilvl w:val="0"/>
                <w:numId w:val="17"/>
              </w:numPr>
            </w:pPr>
            <w:r>
              <w:t xml:space="preserve">Client </w:t>
            </w:r>
            <w:r w:rsidR="008C3A34">
              <w:t xml:space="preserve"> contact</w:t>
            </w:r>
            <w:r>
              <w:t>s</w:t>
            </w:r>
            <w:r w:rsidR="008C3A34">
              <w:t xml:space="preserve"> EO Caseworker for employment related requests</w:t>
            </w:r>
          </w:p>
        </w:tc>
      </w:tr>
      <w:tr w:rsidR="008C3A34" w:rsidTr="002A6135">
        <w:trPr>
          <w:trHeight w:val="423"/>
        </w:trPr>
        <w:tc>
          <w:tcPr>
            <w:tcW w:w="1978" w:type="dxa"/>
            <w:tcBorders>
              <w:top w:val="single" w:sz="12" w:space="0" w:color="auto"/>
              <w:left w:val="single" w:sz="12" w:space="0" w:color="auto"/>
              <w:bottom w:val="single" w:sz="12" w:space="0" w:color="auto"/>
              <w:right w:val="single" w:sz="4" w:space="0" w:color="auto"/>
            </w:tcBorders>
            <w:shd w:val="clear" w:color="auto" w:fill="E2EFD9" w:themeFill="accent6" w:themeFillTint="33"/>
          </w:tcPr>
          <w:p w:rsidR="003C7B9E" w:rsidRDefault="003C7B9E" w:rsidP="004546BE">
            <w:pPr>
              <w:jc w:val="center"/>
              <w:rPr>
                <w:b/>
              </w:rPr>
            </w:pPr>
          </w:p>
          <w:p w:rsidR="003C7B9E" w:rsidRDefault="003C7B9E" w:rsidP="004546BE">
            <w:pPr>
              <w:jc w:val="center"/>
              <w:rPr>
                <w:b/>
              </w:rPr>
            </w:pPr>
          </w:p>
          <w:p w:rsidR="000D41E8" w:rsidRDefault="000D41E8" w:rsidP="004546BE">
            <w:pPr>
              <w:jc w:val="center"/>
              <w:rPr>
                <w:b/>
              </w:rPr>
            </w:pPr>
          </w:p>
          <w:p w:rsidR="008C3A34" w:rsidRPr="000A4644" w:rsidRDefault="003C7B9E" w:rsidP="004546BE">
            <w:pPr>
              <w:jc w:val="center"/>
              <w:rPr>
                <w:b/>
              </w:rPr>
            </w:pPr>
            <w:r w:rsidRPr="000A4644">
              <w:rPr>
                <w:b/>
              </w:rPr>
              <w:t>Process Request</w:t>
            </w:r>
          </w:p>
        </w:tc>
        <w:tc>
          <w:tcPr>
            <w:tcW w:w="1835" w:type="dxa"/>
            <w:tcBorders>
              <w:top w:val="single" w:sz="12" w:space="0" w:color="auto"/>
              <w:left w:val="single" w:sz="4" w:space="0" w:color="auto"/>
              <w:bottom w:val="single" w:sz="12" w:space="0" w:color="auto"/>
            </w:tcBorders>
            <w:shd w:val="clear" w:color="auto" w:fill="F7CAAC" w:themeFill="accent2" w:themeFillTint="66"/>
          </w:tcPr>
          <w:p w:rsidR="0039058D" w:rsidRPr="000D41E8" w:rsidRDefault="0039058D" w:rsidP="000D41E8">
            <w:pPr>
              <w:jc w:val="center"/>
              <w:rPr>
                <w:b/>
              </w:rPr>
            </w:pPr>
          </w:p>
          <w:p w:rsidR="0039058D" w:rsidRPr="000D41E8" w:rsidRDefault="0039058D" w:rsidP="000D41E8">
            <w:pPr>
              <w:jc w:val="center"/>
              <w:rPr>
                <w:b/>
              </w:rPr>
            </w:pPr>
          </w:p>
          <w:p w:rsidR="003214B0" w:rsidRDefault="003214B0" w:rsidP="000D41E8">
            <w:pPr>
              <w:jc w:val="center"/>
              <w:rPr>
                <w:b/>
              </w:rPr>
            </w:pPr>
          </w:p>
          <w:p w:rsidR="008C3A34" w:rsidRPr="000D41E8" w:rsidRDefault="007161F6" w:rsidP="000D41E8">
            <w:pPr>
              <w:jc w:val="center"/>
              <w:rPr>
                <w:b/>
              </w:rPr>
            </w:pPr>
            <w:r w:rsidRPr="000D41E8">
              <w:rPr>
                <w:b/>
              </w:rPr>
              <w:t>Service Provider</w:t>
            </w:r>
          </w:p>
        </w:tc>
        <w:tc>
          <w:tcPr>
            <w:tcW w:w="5517" w:type="dxa"/>
            <w:tcBorders>
              <w:top w:val="single" w:sz="12" w:space="0" w:color="auto"/>
              <w:bottom w:val="single" w:sz="12" w:space="0" w:color="auto"/>
              <w:right w:val="single" w:sz="12" w:space="0" w:color="auto"/>
            </w:tcBorders>
            <w:shd w:val="clear" w:color="auto" w:fill="F7CAAC" w:themeFill="accent2" w:themeFillTint="66"/>
          </w:tcPr>
          <w:p w:rsidR="008C3A34" w:rsidRDefault="007161F6" w:rsidP="00C8231A">
            <w:pPr>
              <w:pStyle w:val="ListParagraph"/>
              <w:numPr>
                <w:ilvl w:val="0"/>
                <w:numId w:val="15"/>
              </w:numPr>
            </w:pPr>
            <w:r>
              <w:t xml:space="preserve">Reviews Coordination of </w:t>
            </w:r>
            <w:r w:rsidR="00EA37B2">
              <w:t>B</w:t>
            </w:r>
            <w:r>
              <w:t>enefits</w:t>
            </w:r>
            <w:r w:rsidR="000B1DCD">
              <w:t xml:space="preserve"> chart</w:t>
            </w:r>
            <w:r>
              <w:t xml:space="preserve"> to </w:t>
            </w:r>
            <w:r w:rsidR="00BA5D1F">
              <w:t>confirm</w:t>
            </w:r>
            <w:r>
              <w:t xml:space="preserve"> request is within </w:t>
            </w:r>
            <w:r w:rsidR="00A77372">
              <w:t>SSM</w:t>
            </w:r>
            <w:r w:rsidR="000D41E8">
              <w:t xml:space="preserve"> Guidelines</w:t>
            </w:r>
            <w:r w:rsidR="00A77372">
              <w:t>;</w:t>
            </w:r>
            <w:r>
              <w:t xml:space="preserve"> if the amount exceeds </w:t>
            </w:r>
            <w:r w:rsidR="000D41E8">
              <w:t>SSM</w:t>
            </w:r>
            <w:r>
              <w:t xml:space="preserve"> Guidelines for an individual</w:t>
            </w:r>
            <w:r w:rsidR="000D41E8">
              <w:t xml:space="preserve"> (</w:t>
            </w:r>
            <w:proofErr w:type="spellStart"/>
            <w:r w:rsidR="000D41E8">
              <w:t>eg</w:t>
            </w:r>
            <w:proofErr w:type="spellEnd"/>
            <w:r w:rsidR="000D41E8">
              <w:t>. $1000.00)</w:t>
            </w:r>
            <w:r w:rsidR="00A77372">
              <w:t>, the Service Provider will need</w:t>
            </w:r>
            <w:r>
              <w:t xml:space="preserve"> to contact SSM for approval</w:t>
            </w:r>
          </w:p>
          <w:p w:rsidR="000B1DCD" w:rsidRDefault="00D45046" w:rsidP="00C8231A">
            <w:pPr>
              <w:pStyle w:val="ListParagraph"/>
              <w:numPr>
                <w:ilvl w:val="0"/>
                <w:numId w:val="15"/>
              </w:numPr>
            </w:pPr>
            <w:r>
              <w:t>EO caseworker</w:t>
            </w:r>
            <w:r w:rsidR="000B1DCD">
              <w:t xml:space="preserve"> collabora</w:t>
            </w:r>
            <w:r>
              <w:t xml:space="preserve">tes with SA caseworker </w:t>
            </w:r>
            <w:r w:rsidR="000D41E8">
              <w:t>if required</w:t>
            </w:r>
          </w:p>
          <w:p w:rsidR="007161F6" w:rsidRDefault="007161F6" w:rsidP="008C3A34"/>
        </w:tc>
      </w:tr>
      <w:tr w:rsidR="008C3A34" w:rsidTr="002A6135">
        <w:trPr>
          <w:trHeight w:val="99"/>
        </w:trPr>
        <w:tc>
          <w:tcPr>
            <w:tcW w:w="1978" w:type="dxa"/>
            <w:tcBorders>
              <w:top w:val="single" w:sz="12" w:space="0" w:color="auto"/>
              <w:left w:val="single" w:sz="12" w:space="0" w:color="auto"/>
              <w:right w:val="single" w:sz="4" w:space="0" w:color="auto"/>
            </w:tcBorders>
            <w:shd w:val="clear" w:color="auto" w:fill="E2EFD9" w:themeFill="accent6" w:themeFillTint="33"/>
          </w:tcPr>
          <w:p w:rsidR="003C7B9E" w:rsidRPr="000A4644" w:rsidRDefault="003C7B9E" w:rsidP="003C7B9E">
            <w:pPr>
              <w:rPr>
                <w:b/>
              </w:rPr>
            </w:pPr>
            <w:r w:rsidRPr="000A4644">
              <w:rPr>
                <w:b/>
              </w:rPr>
              <w:t>Approve/Deny</w:t>
            </w:r>
          </w:p>
          <w:p w:rsidR="008C3A34" w:rsidRPr="000A4644" w:rsidRDefault="003C7B9E" w:rsidP="003214B0">
            <w:pPr>
              <w:jc w:val="center"/>
              <w:rPr>
                <w:b/>
              </w:rPr>
            </w:pPr>
            <w:r w:rsidRPr="000A4644">
              <w:rPr>
                <w:b/>
              </w:rPr>
              <w:t>Financial Request</w:t>
            </w:r>
          </w:p>
        </w:tc>
        <w:tc>
          <w:tcPr>
            <w:tcW w:w="1835" w:type="dxa"/>
            <w:tcBorders>
              <w:top w:val="single" w:sz="12" w:space="0" w:color="auto"/>
              <w:left w:val="single" w:sz="4" w:space="0" w:color="auto"/>
              <w:bottom w:val="single" w:sz="12" w:space="0" w:color="auto"/>
            </w:tcBorders>
            <w:shd w:val="clear" w:color="auto" w:fill="F7CAAC" w:themeFill="accent2" w:themeFillTint="66"/>
          </w:tcPr>
          <w:p w:rsidR="008C3A34" w:rsidRPr="000D41E8" w:rsidRDefault="007161F6" w:rsidP="000D41E8">
            <w:pPr>
              <w:jc w:val="center"/>
              <w:rPr>
                <w:rFonts w:asciiTheme="majorHAnsi" w:hAnsiTheme="majorHAnsi" w:cstheme="majorHAnsi"/>
                <w:b/>
              </w:rPr>
            </w:pPr>
            <w:r w:rsidRPr="000D41E8">
              <w:rPr>
                <w:rFonts w:asciiTheme="majorHAnsi" w:hAnsiTheme="majorHAnsi" w:cstheme="majorHAnsi"/>
                <w:b/>
              </w:rPr>
              <w:t>Service Provider</w:t>
            </w:r>
          </w:p>
        </w:tc>
        <w:tc>
          <w:tcPr>
            <w:tcW w:w="5517" w:type="dxa"/>
            <w:tcBorders>
              <w:top w:val="single" w:sz="12" w:space="0" w:color="auto"/>
              <w:right w:val="single" w:sz="12" w:space="0" w:color="auto"/>
            </w:tcBorders>
            <w:shd w:val="clear" w:color="auto" w:fill="F7CAAC" w:themeFill="accent2" w:themeFillTint="66"/>
          </w:tcPr>
          <w:p w:rsidR="000D41E8" w:rsidRDefault="0039058D" w:rsidP="000D41E8">
            <w:pPr>
              <w:pStyle w:val="ListParagraph"/>
              <w:numPr>
                <w:ilvl w:val="0"/>
                <w:numId w:val="19"/>
              </w:numPr>
              <w:rPr>
                <w:rFonts w:asciiTheme="majorHAnsi" w:hAnsiTheme="majorHAnsi" w:cstheme="majorHAnsi"/>
              </w:rPr>
            </w:pPr>
            <w:r w:rsidRPr="000D41E8">
              <w:rPr>
                <w:rFonts w:asciiTheme="majorHAnsi" w:hAnsiTheme="majorHAnsi" w:cstheme="majorHAnsi"/>
              </w:rPr>
              <w:t>Approve or Deny Financial Request; request additional information</w:t>
            </w:r>
          </w:p>
          <w:p w:rsidR="008C3A34" w:rsidRPr="000D41E8" w:rsidRDefault="000D41E8" w:rsidP="000D41E8">
            <w:pPr>
              <w:pStyle w:val="ListParagraph"/>
              <w:numPr>
                <w:ilvl w:val="0"/>
                <w:numId w:val="19"/>
              </w:numPr>
              <w:rPr>
                <w:rFonts w:asciiTheme="majorHAnsi" w:hAnsiTheme="majorHAnsi" w:cstheme="majorHAnsi"/>
              </w:rPr>
            </w:pPr>
            <w:r w:rsidRPr="000D41E8">
              <w:rPr>
                <w:rFonts w:asciiTheme="majorHAnsi" w:hAnsiTheme="majorHAnsi" w:cstheme="majorHAnsi"/>
              </w:rPr>
              <w:t>Follow internal process to issues funds to client</w:t>
            </w:r>
          </w:p>
        </w:tc>
      </w:tr>
      <w:tr w:rsidR="003C7B9E" w:rsidTr="00297FDE">
        <w:trPr>
          <w:trHeight w:val="299"/>
        </w:trPr>
        <w:tc>
          <w:tcPr>
            <w:tcW w:w="1978" w:type="dxa"/>
            <w:vMerge w:val="restart"/>
            <w:tcBorders>
              <w:top w:val="single" w:sz="12" w:space="0" w:color="auto"/>
              <w:left w:val="single" w:sz="12" w:space="0" w:color="auto"/>
            </w:tcBorders>
            <w:shd w:val="clear" w:color="auto" w:fill="E2EFD9" w:themeFill="accent6" w:themeFillTint="33"/>
          </w:tcPr>
          <w:p w:rsidR="003C7B9E" w:rsidRPr="000A4644" w:rsidRDefault="003C7B9E" w:rsidP="007161F6">
            <w:pPr>
              <w:rPr>
                <w:b/>
              </w:rPr>
            </w:pPr>
          </w:p>
          <w:p w:rsidR="000D41E8" w:rsidRDefault="000D41E8" w:rsidP="007161F6">
            <w:pPr>
              <w:rPr>
                <w:b/>
              </w:rPr>
            </w:pPr>
          </w:p>
          <w:p w:rsidR="003C7B9E" w:rsidRPr="000A4644" w:rsidRDefault="00EA37B2" w:rsidP="003214B0">
            <w:pPr>
              <w:jc w:val="center"/>
              <w:rPr>
                <w:b/>
              </w:rPr>
            </w:pPr>
            <w:r>
              <w:rPr>
                <w:b/>
              </w:rPr>
              <w:t>Submit  R</w:t>
            </w:r>
            <w:r w:rsidR="003C7B9E" w:rsidRPr="000A4644">
              <w:rPr>
                <w:b/>
              </w:rPr>
              <w:t>equired Documentation</w:t>
            </w:r>
          </w:p>
        </w:tc>
        <w:tc>
          <w:tcPr>
            <w:tcW w:w="1835" w:type="dxa"/>
            <w:tcBorders>
              <w:top w:val="single" w:sz="12" w:space="0" w:color="auto"/>
            </w:tcBorders>
            <w:shd w:val="clear" w:color="auto" w:fill="FFF2CC" w:themeFill="accent4" w:themeFillTint="33"/>
          </w:tcPr>
          <w:p w:rsidR="003214B0" w:rsidRDefault="003214B0" w:rsidP="000D41E8">
            <w:pPr>
              <w:jc w:val="center"/>
              <w:rPr>
                <w:rFonts w:asciiTheme="majorHAnsi" w:hAnsiTheme="majorHAnsi" w:cstheme="majorHAnsi"/>
                <w:b/>
              </w:rPr>
            </w:pPr>
          </w:p>
          <w:p w:rsidR="003C7B9E" w:rsidRPr="000D41E8" w:rsidRDefault="003C7B9E" w:rsidP="000D41E8">
            <w:pPr>
              <w:jc w:val="center"/>
              <w:rPr>
                <w:rFonts w:asciiTheme="majorHAnsi" w:hAnsiTheme="majorHAnsi" w:cstheme="majorHAnsi"/>
                <w:b/>
              </w:rPr>
            </w:pPr>
            <w:r w:rsidRPr="000D41E8">
              <w:rPr>
                <w:rFonts w:asciiTheme="majorHAnsi" w:hAnsiTheme="majorHAnsi" w:cstheme="majorHAnsi"/>
                <w:b/>
              </w:rPr>
              <w:t>Client</w:t>
            </w:r>
          </w:p>
        </w:tc>
        <w:tc>
          <w:tcPr>
            <w:tcW w:w="5517" w:type="dxa"/>
            <w:tcBorders>
              <w:top w:val="single" w:sz="12" w:space="0" w:color="auto"/>
              <w:right w:val="single" w:sz="12" w:space="0" w:color="auto"/>
            </w:tcBorders>
            <w:shd w:val="clear" w:color="auto" w:fill="FFF2CC" w:themeFill="accent4" w:themeFillTint="33"/>
          </w:tcPr>
          <w:p w:rsidR="003C7B9E" w:rsidRPr="000D41E8" w:rsidRDefault="003C7B9E" w:rsidP="000D41E8">
            <w:pPr>
              <w:pStyle w:val="ListParagraph"/>
              <w:numPr>
                <w:ilvl w:val="0"/>
                <w:numId w:val="21"/>
              </w:numPr>
              <w:rPr>
                <w:rFonts w:asciiTheme="majorHAnsi" w:hAnsiTheme="majorHAnsi" w:cstheme="majorHAnsi"/>
              </w:rPr>
            </w:pPr>
            <w:r w:rsidRPr="000D41E8">
              <w:rPr>
                <w:rFonts w:asciiTheme="majorHAnsi" w:hAnsiTheme="majorHAnsi" w:cstheme="majorHAnsi"/>
              </w:rPr>
              <w:t>Client purchases employment related supports and submits an itemized receipt to SP</w:t>
            </w:r>
          </w:p>
          <w:p w:rsidR="003C7B9E" w:rsidRPr="0030129D" w:rsidRDefault="003C7B9E" w:rsidP="00DB068A">
            <w:pPr>
              <w:pStyle w:val="ListParagraph"/>
              <w:rPr>
                <w:rFonts w:asciiTheme="majorHAnsi" w:hAnsiTheme="majorHAnsi" w:cstheme="majorHAnsi"/>
              </w:rPr>
            </w:pPr>
          </w:p>
        </w:tc>
      </w:tr>
      <w:tr w:rsidR="003C7B9E" w:rsidTr="003214B0">
        <w:trPr>
          <w:trHeight w:val="299"/>
        </w:trPr>
        <w:tc>
          <w:tcPr>
            <w:tcW w:w="1978" w:type="dxa"/>
            <w:vMerge/>
            <w:tcBorders>
              <w:left w:val="single" w:sz="12" w:space="0" w:color="auto"/>
              <w:bottom w:val="single" w:sz="12" w:space="0" w:color="auto"/>
            </w:tcBorders>
            <w:shd w:val="clear" w:color="auto" w:fill="E2EFD9" w:themeFill="accent6" w:themeFillTint="33"/>
          </w:tcPr>
          <w:p w:rsidR="003C7B9E" w:rsidRPr="000A4644" w:rsidRDefault="003C7B9E" w:rsidP="007161F6">
            <w:pPr>
              <w:rPr>
                <w:b/>
              </w:rPr>
            </w:pPr>
          </w:p>
        </w:tc>
        <w:tc>
          <w:tcPr>
            <w:tcW w:w="1835" w:type="dxa"/>
            <w:tcBorders>
              <w:bottom w:val="single" w:sz="12" w:space="0" w:color="auto"/>
            </w:tcBorders>
            <w:shd w:val="clear" w:color="auto" w:fill="F7CAAC" w:themeFill="accent2" w:themeFillTint="66"/>
          </w:tcPr>
          <w:p w:rsidR="003214B0" w:rsidRDefault="003214B0" w:rsidP="000D41E8">
            <w:pPr>
              <w:jc w:val="center"/>
              <w:rPr>
                <w:rFonts w:asciiTheme="majorHAnsi" w:hAnsiTheme="majorHAnsi" w:cstheme="majorHAnsi"/>
                <w:b/>
              </w:rPr>
            </w:pPr>
          </w:p>
          <w:p w:rsidR="003214B0" w:rsidRDefault="003214B0" w:rsidP="000D41E8">
            <w:pPr>
              <w:jc w:val="center"/>
              <w:rPr>
                <w:rFonts w:asciiTheme="majorHAnsi" w:hAnsiTheme="majorHAnsi" w:cstheme="majorHAnsi"/>
                <w:b/>
              </w:rPr>
            </w:pPr>
          </w:p>
          <w:p w:rsidR="003C7B9E" w:rsidRPr="000D41E8" w:rsidRDefault="003C7B9E" w:rsidP="000D41E8">
            <w:pPr>
              <w:jc w:val="center"/>
              <w:rPr>
                <w:rFonts w:asciiTheme="majorHAnsi" w:hAnsiTheme="majorHAnsi" w:cstheme="majorHAnsi"/>
                <w:b/>
              </w:rPr>
            </w:pPr>
            <w:r w:rsidRPr="000D41E8">
              <w:rPr>
                <w:rFonts w:asciiTheme="majorHAnsi" w:hAnsiTheme="majorHAnsi" w:cstheme="majorHAnsi"/>
                <w:b/>
              </w:rPr>
              <w:t>Service Provider</w:t>
            </w:r>
          </w:p>
        </w:tc>
        <w:tc>
          <w:tcPr>
            <w:tcW w:w="5517" w:type="dxa"/>
            <w:tcBorders>
              <w:right w:val="single" w:sz="12" w:space="0" w:color="auto"/>
            </w:tcBorders>
            <w:shd w:val="clear" w:color="auto" w:fill="F7CAAC" w:themeFill="accent2" w:themeFillTint="66"/>
          </w:tcPr>
          <w:p w:rsidR="003C7B9E" w:rsidRDefault="003C7B9E" w:rsidP="000D41E8">
            <w:pPr>
              <w:pStyle w:val="ListParagraph"/>
              <w:numPr>
                <w:ilvl w:val="0"/>
                <w:numId w:val="21"/>
              </w:numPr>
              <w:rPr>
                <w:rFonts w:asciiTheme="majorHAnsi" w:hAnsiTheme="majorHAnsi" w:cstheme="majorHAnsi"/>
              </w:rPr>
            </w:pPr>
            <w:r w:rsidRPr="000D41E8">
              <w:rPr>
                <w:rFonts w:asciiTheme="majorHAnsi" w:hAnsiTheme="majorHAnsi" w:cstheme="majorHAnsi"/>
              </w:rPr>
              <w:t>O</w:t>
            </w:r>
            <w:r w:rsidR="00EA37B2">
              <w:rPr>
                <w:rFonts w:asciiTheme="majorHAnsi" w:hAnsiTheme="majorHAnsi" w:cstheme="majorHAnsi"/>
              </w:rPr>
              <w:t>nce i</w:t>
            </w:r>
            <w:r w:rsidR="00A77372">
              <w:rPr>
                <w:rFonts w:asciiTheme="majorHAnsi" w:hAnsiTheme="majorHAnsi" w:cstheme="majorHAnsi"/>
              </w:rPr>
              <w:t>temized receipt received</w:t>
            </w:r>
            <w:r w:rsidR="00EA37B2">
              <w:rPr>
                <w:rFonts w:asciiTheme="majorHAnsi" w:hAnsiTheme="majorHAnsi" w:cstheme="majorHAnsi"/>
              </w:rPr>
              <w:t>,</w:t>
            </w:r>
            <w:r w:rsidR="00A77372">
              <w:rPr>
                <w:rFonts w:asciiTheme="majorHAnsi" w:hAnsiTheme="majorHAnsi" w:cstheme="majorHAnsi"/>
              </w:rPr>
              <w:t xml:space="preserve"> Service Provider</w:t>
            </w:r>
            <w:r w:rsidRPr="000D41E8">
              <w:rPr>
                <w:rFonts w:asciiTheme="majorHAnsi" w:hAnsiTheme="majorHAnsi" w:cstheme="majorHAnsi"/>
              </w:rPr>
              <w:t xml:space="preserve"> edits EAP plan item, uploads documents to CaM</w:t>
            </w:r>
            <w:r w:rsidR="00EA37B2">
              <w:rPr>
                <w:rFonts w:asciiTheme="majorHAnsi" w:hAnsiTheme="majorHAnsi" w:cstheme="majorHAnsi"/>
              </w:rPr>
              <w:t>S</w:t>
            </w:r>
            <w:r w:rsidRPr="000D41E8">
              <w:rPr>
                <w:rFonts w:asciiTheme="majorHAnsi" w:hAnsiTheme="majorHAnsi" w:cstheme="majorHAnsi"/>
              </w:rPr>
              <w:t>, and submits receipt to SSM</w:t>
            </w:r>
          </w:p>
          <w:p w:rsidR="000D41E8" w:rsidRPr="000D41E8" w:rsidRDefault="000D41E8" w:rsidP="000D41E8">
            <w:pPr>
              <w:rPr>
                <w:rFonts w:asciiTheme="majorHAnsi" w:hAnsiTheme="majorHAnsi" w:cstheme="majorHAnsi"/>
                <w:i/>
              </w:rPr>
            </w:pPr>
            <w:r w:rsidRPr="000D41E8">
              <w:rPr>
                <w:rFonts w:asciiTheme="majorHAnsi" w:hAnsiTheme="majorHAnsi" w:cstheme="majorHAnsi"/>
                <w:i/>
              </w:rPr>
              <w:t>Note: Some documentation may not be acceptable forms of evidence (see below)</w:t>
            </w:r>
          </w:p>
        </w:tc>
      </w:tr>
      <w:tr w:rsidR="003C7B9E" w:rsidTr="002A6135">
        <w:trPr>
          <w:trHeight w:val="99"/>
        </w:trPr>
        <w:tc>
          <w:tcPr>
            <w:tcW w:w="1978" w:type="dxa"/>
            <w:vMerge w:val="restart"/>
            <w:tcBorders>
              <w:top w:val="single" w:sz="12" w:space="0" w:color="auto"/>
              <w:left w:val="single" w:sz="12" w:space="0" w:color="auto"/>
            </w:tcBorders>
            <w:shd w:val="clear" w:color="auto" w:fill="E2EFD9" w:themeFill="accent6" w:themeFillTint="33"/>
          </w:tcPr>
          <w:p w:rsidR="000D41E8" w:rsidRDefault="000D41E8" w:rsidP="000A4644">
            <w:pPr>
              <w:rPr>
                <w:b/>
              </w:rPr>
            </w:pPr>
          </w:p>
          <w:p w:rsidR="000D41E8" w:rsidRDefault="000D41E8" w:rsidP="000A4644">
            <w:pPr>
              <w:rPr>
                <w:b/>
              </w:rPr>
            </w:pPr>
          </w:p>
          <w:p w:rsidR="000D41E8" w:rsidRDefault="000D41E8" w:rsidP="000A4644">
            <w:pPr>
              <w:rPr>
                <w:b/>
              </w:rPr>
            </w:pPr>
          </w:p>
          <w:p w:rsidR="003C7B9E" w:rsidRPr="000A4644" w:rsidRDefault="003214B0" w:rsidP="003214B0">
            <w:pPr>
              <w:jc w:val="center"/>
              <w:rPr>
                <w:b/>
              </w:rPr>
            </w:pPr>
            <w:r>
              <w:rPr>
                <w:b/>
              </w:rPr>
              <w:t>SSM Review</w:t>
            </w:r>
          </w:p>
        </w:tc>
        <w:tc>
          <w:tcPr>
            <w:tcW w:w="1835" w:type="dxa"/>
            <w:tcBorders>
              <w:top w:val="single" w:sz="12" w:space="0" w:color="auto"/>
              <w:bottom w:val="single" w:sz="12" w:space="0" w:color="auto"/>
              <w:right w:val="single" w:sz="4" w:space="0" w:color="auto"/>
            </w:tcBorders>
            <w:shd w:val="clear" w:color="auto" w:fill="F7CAAC" w:themeFill="accent2" w:themeFillTint="66"/>
          </w:tcPr>
          <w:p w:rsidR="003214B0" w:rsidRDefault="003214B0" w:rsidP="000D41E8">
            <w:pPr>
              <w:jc w:val="center"/>
              <w:rPr>
                <w:rFonts w:asciiTheme="majorHAnsi" w:hAnsiTheme="majorHAnsi" w:cstheme="majorHAnsi"/>
                <w:b/>
                <w:lang w:val="en-US"/>
              </w:rPr>
            </w:pPr>
          </w:p>
          <w:p w:rsidR="003214B0" w:rsidRDefault="003214B0" w:rsidP="000D41E8">
            <w:pPr>
              <w:jc w:val="center"/>
              <w:rPr>
                <w:rFonts w:asciiTheme="majorHAnsi" w:hAnsiTheme="majorHAnsi" w:cstheme="majorHAnsi"/>
                <w:b/>
                <w:lang w:val="en-US"/>
              </w:rPr>
            </w:pPr>
          </w:p>
          <w:p w:rsidR="003C7B9E" w:rsidRPr="000D41E8" w:rsidRDefault="003C7B9E" w:rsidP="000D41E8">
            <w:pPr>
              <w:jc w:val="center"/>
              <w:rPr>
                <w:rFonts w:asciiTheme="majorHAnsi" w:hAnsiTheme="majorHAnsi" w:cstheme="majorHAnsi"/>
                <w:b/>
                <w:lang w:val="en-US"/>
              </w:rPr>
            </w:pPr>
            <w:r w:rsidRPr="000D41E8">
              <w:rPr>
                <w:rFonts w:asciiTheme="majorHAnsi" w:hAnsiTheme="majorHAnsi" w:cstheme="majorHAnsi"/>
                <w:b/>
                <w:lang w:val="en-US"/>
              </w:rPr>
              <w:t>Service Provider</w:t>
            </w:r>
          </w:p>
        </w:tc>
        <w:tc>
          <w:tcPr>
            <w:tcW w:w="5517" w:type="dxa"/>
            <w:tcBorders>
              <w:top w:val="single" w:sz="12" w:space="0" w:color="auto"/>
              <w:left w:val="single" w:sz="4" w:space="0" w:color="auto"/>
              <w:bottom w:val="single" w:sz="12" w:space="0" w:color="auto"/>
              <w:right w:val="single" w:sz="12" w:space="0" w:color="auto"/>
            </w:tcBorders>
            <w:shd w:val="clear" w:color="auto" w:fill="F7CAAC" w:themeFill="accent2" w:themeFillTint="66"/>
          </w:tcPr>
          <w:p w:rsidR="0034621B" w:rsidRDefault="0034621B" w:rsidP="000D41E8">
            <w:pPr>
              <w:pStyle w:val="ListParagraph"/>
              <w:numPr>
                <w:ilvl w:val="0"/>
                <w:numId w:val="21"/>
              </w:numPr>
              <w:rPr>
                <w:rFonts w:asciiTheme="majorHAnsi" w:hAnsiTheme="majorHAnsi" w:cstheme="majorHAnsi"/>
                <w:lang w:val="en-US"/>
              </w:rPr>
            </w:pPr>
            <w:r>
              <w:rPr>
                <w:rFonts w:asciiTheme="majorHAnsi" w:hAnsiTheme="majorHAnsi" w:cstheme="majorHAnsi"/>
                <w:lang w:val="en-US"/>
              </w:rPr>
              <w:t>O</w:t>
            </w:r>
            <w:r w:rsidRPr="000D41E8">
              <w:rPr>
                <w:rFonts w:asciiTheme="majorHAnsi" w:hAnsiTheme="majorHAnsi" w:cstheme="majorHAnsi"/>
                <w:lang w:val="en-US"/>
              </w:rPr>
              <w:t>nce</w:t>
            </w:r>
            <w:r>
              <w:rPr>
                <w:rFonts w:asciiTheme="majorHAnsi" w:hAnsiTheme="majorHAnsi" w:cstheme="majorHAnsi"/>
                <w:lang w:val="en-US"/>
              </w:rPr>
              <w:t xml:space="preserve"> documentation</w:t>
            </w:r>
            <w:r w:rsidRPr="000D41E8">
              <w:rPr>
                <w:rFonts w:asciiTheme="majorHAnsi" w:hAnsiTheme="majorHAnsi" w:cstheme="majorHAnsi"/>
                <w:lang w:val="en-US"/>
              </w:rPr>
              <w:t xml:space="preserve"> received, SP to upload additional documents to CaM</w:t>
            </w:r>
            <w:r w:rsidR="00EA37B2">
              <w:rPr>
                <w:rFonts w:asciiTheme="majorHAnsi" w:hAnsiTheme="majorHAnsi" w:cstheme="majorHAnsi"/>
                <w:lang w:val="en-US"/>
              </w:rPr>
              <w:t>S (</w:t>
            </w:r>
            <w:r w:rsidRPr="000D41E8">
              <w:rPr>
                <w:rFonts w:asciiTheme="majorHAnsi" w:hAnsiTheme="majorHAnsi" w:cstheme="majorHAnsi"/>
                <w:lang w:val="en-US"/>
              </w:rPr>
              <w:t>see steps below)</w:t>
            </w:r>
          </w:p>
          <w:p w:rsidR="000D41E8" w:rsidRDefault="003C7B9E" w:rsidP="000D41E8">
            <w:pPr>
              <w:pStyle w:val="ListParagraph"/>
              <w:numPr>
                <w:ilvl w:val="0"/>
                <w:numId w:val="21"/>
              </w:numPr>
              <w:rPr>
                <w:rFonts w:asciiTheme="majorHAnsi" w:hAnsiTheme="majorHAnsi" w:cstheme="majorHAnsi"/>
                <w:lang w:val="en-US"/>
              </w:rPr>
            </w:pPr>
            <w:r w:rsidRPr="000D41E8">
              <w:rPr>
                <w:rFonts w:asciiTheme="majorHAnsi" w:hAnsiTheme="majorHAnsi" w:cstheme="majorHAnsi"/>
                <w:lang w:val="en-US"/>
              </w:rPr>
              <w:t>If request denied and returned from SSM</w:t>
            </w:r>
            <w:r w:rsidR="00EA37B2">
              <w:rPr>
                <w:rFonts w:asciiTheme="majorHAnsi" w:hAnsiTheme="majorHAnsi" w:cstheme="majorHAnsi"/>
                <w:lang w:val="en-US"/>
              </w:rPr>
              <w:t>,</w:t>
            </w:r>
            <w:r w:rsidRPr="000D41E8">
              <w:rPr>
                <w:rFonts w:asciiTheme="majorHAnsi" w:hAnsiTheme="majorHAnsi" w:cstheme="majorHAnsi"/>
                <w:lang w:val="en-US"/>
              </w:rPr>
              <w:t xml:space="preserve"> </w:t>
            </w:r>
            <w:r w:rsidR="0034621B">
              <w:rPr>
                <w:rFonts w:asciiTheme="majorHAnsi" w:hAnsiTheme="majorHAnsi" w:cstheme="majorHAnsi"/>
                <w:lang w:val="en-US"/>
              </w:rPr>
              <w:t>Service Provider to follow internal process to obtain proper information and resubmit to SSM</w:t>
            </w:r>
          </w:p>
          <w:p w:rsidR="003C7B9E" w:rsidRPr="000D41E8" w:rsidRDefault="000D41E8" w:rsidP="00EA37B2">
            <w:pPr>
              <w:pStyle w:val="ListParagraph"/>
              <w:rPr>
                <w:rFonts w:asciiTheme="majorHAnsi" w:hAnsiTheme="majorHAnsi" w:cstheme="majorHAnsi"/>
                <w:lang w:val="en-US"/>
              </w:rPr>
            </w:pPr>
            <w:r>
              <w:rPr>
                <w:rFonts w:asciiTheme="majorHAnsi" w:hAnsiTheme="majorHAnsi" w:cstheme="majorHAnsi"/>
                <w:lang w:val="en-US"/>
              </w:rPr>
              <w:t xml:space="preserve"> </w:t>
            </w:r>
          </w:p>
        </w:tc>
      </w:tr>
      <w:tr w:rsidR="003C7B9E" w:rsidTr="002A6135">
        <w:trPr>
          <w:trHeight w:val="99"/>
        </w:trPr>
        <w:tc>
          <w:tcPr>
            <w:tcW w:w="1978" w:type="dxa"/>
            <w:vMerge/>
            <w:tcBorders>
              <w:left w:val="single" w:sz="12" w:space="0" w:color="auto"/>
              <w:bottom w:val="single" w:sz="12" w:space="0" w:color="auto"/>
            </w:tcBorders>
            <w:shd w:val="clear" w:color="auto" w:fill="E2EFD9" w:themeFill="accent6" w:themeFillTint="33"/>
          </w:tcPr>
          <w:p w:rsidR="003C7B9E" w:rsidRPr="000A4644" w:rsidRDefault="003C7B9E" w:rsidP="000A4644">
            <w:pPr>
              <w:rPr>
                <w:b/>
              </w:rPr>
            </w:pPr>
          </w:p>
        </w:tc>
        <w:tc>
          <w:tcPr>
            <w:tcW w:w="1835" w:type="dxa"/>
            <w:tcBorders>
              <w:top w:val="single" w:sz="12" w:space="0" w:color="auto"/>
              <w:bottom w:val="single" w:sz="12" w:space="0" w:color="auto"/>
              <w:right w:val="single" w:sz="4" w:space="0" w:color="auto"/>
            </w:tcBorders>
            <w:shd w:val="clear" w:color="auto" w:fill="DEEAF6" w:themeFill="accent1" w:themeFillTint="33"/>
          </w:tcPr>
          <w:p w:rsidR="003214B0" w:rsidRDefault="003214B0" w:rsidP="000D41E8">
            <w:pPr>
              <w:jc w:val="center"/>
              <w:rPr>
                <w:rFonts w:asciiTheme="majorHAnsi" w:hAnsiTheme="majorHAnsi" w:cstheme="majorHAnsi"/>
                <w:b/>
                <w:lang w:val="en-US"/>
              </w:rPr>
            </w:pPr>
          </w:p>
          <w:p w:rsidR="003C7B9E" w:rsidRPr="000D41E8" w:rsidRDefault="003C7B9E" w:rsidP="000D41E8">
            <w:pPr>
              <w:jc w:val="center"/>
              <w:rPr>
                <w:rFonts w:asciiTheme="majorHAnsi" w:hAnsiTheme="majorHAnsi" w:cstheme="majorHAnsi"/>
                <w:b/>
                <w:lang w:val="en-US"/>
              </w:rPr>
            </w:pPr>
            <w:r w:rsidRPr="000D41E8">
              <w:rPr>
                <w:rFonts w:asciiTheme="majorHAnsi" w:hAnsiTheme="majorHAnsi" w:cstheme="majorHAnsi"/>
                <w:b/>
                <w:lang w:val="en-US"/>
              </w:rPr>
              <w:t>SSM</w:t>
            </w:r>
          </w:p>
        </w:tc>
        <w:tc>
          <w:tcPr>
            <w:tcW w:w="5517" w:type="dxa"/>
            <w:tcBorders>
              <w:top w:val="single" w:sz="12" w:space="0" w:color="auto"/>
              <w:left w:val="single" w:sz="4" w:space="0" w:color="auto"/>
              <w:bottom w:val="single" w:sz="12" w:space="0" w:color="auto"/>
              <w:right w:val="single" w:sz="12" w:space="0" w:color="auto"/>
            </w:tcBorders>
            <w:shd w:val="clear" w:color="auto" w:fill="DEEAF6" w:themeFill="accent1" w:themeFillTint="33"/>
          </w:tcPr>
          <w:p w:rsidR="000D41E8" w:rsidRDefault="003C7B9E" w:rsidP="000D41E8">
            <w:pPr>
              <w:pStyle w:val="ListParagraph"/>
              <w:numPr>
                <w:ilvl w:val="0"/>
                <w:numId w:val="22"/>
              </w:numPr>
              <w:rPr>
                <w:rFonts w:asciiTheme="majorHAnsi" w:hAnsiTheme="majorHAnsi" w:cstheme="majorHAnsi"/>
                <w:lang w:val="en-US"/>
              </w:rPr>
            </w:pPr>
            <w:r w:rsidRPr="000D41E8">
              <w:rPr>
                <w:rFonts w:asciiTheme="majorHAnsi" w:hAnsiTheme="majorHAnsi" w:cstheme="majorHAnsi"/>
                <w:lang w:val="en-US"/>
              </w:rPr>
              <w:t>R</w:t>
            </w:r>
            <w:r w:rsidR="000D41E8" w:rsidRPr="000D41E8">
              <w:rPr>
                <w:rFonts w:asciiTheme="majorHAnsi" w:hAnsiTheme="majorHAnsi" w:cstheme="majorHAnsi"/>
                <w:lang w:val="en-US"/>
              </w:rPr>
              <w:t>eview submitted documentation</w:t>
            </w:r>
          </w:p>
          <w:p w:rsidR="000D41E8" w:rsidRDefault="000D41E8" w:rsidP="000D41E8">
            <w:pPr>
              <w:pStyle w:val="ListParagraph"/>
              <w:numPr>
                <w:ilvl w:val="0"/>
                <w:numId w:val="22"/>
              </w:numPr>
              <w:rPr>
                <w:rFonts w:asciiTheme="majorHAnsi" w:hAnsiTheme="majorHAnsi" w:cstheme="majorHAnsi"/>
                <w:lang w:val="en-US"/>
              </w:rPr>
            </w:pPr>
            <w:r>
              <w:rPr>
                <w:rFonts w:asciiTheme="majorHAnsi" w:hAnsiTheme="majorHAnsi" w:cstheme="majorHAnsi"/>
                <w:lang w:val="en-US"/>
              </w:rPr>
              <w:t>Approve or Deny submissions for reimbursement</w:t>
            </w:r>
          </w:p>
          <w:p w:rsidR="000D41E8" w:rsidRPr="000D41E8" w:rsidRDefault="000D41E8" w:rsidP="0090370F">
            <w:pPr>
              <w:pStyle w:val="ListParagraph"/>
              <w:rPr>
                <w:rFonts w:asciiTheme="majorHAnsi" w:hAnsiTheme="majorHAnsi" w:cstheme="majorHAnsi"/>
                <w:lang w:val="en-US"/>
              </w:rPr>
            </w:pPr>
          </w:p>
          <w:p w:rsidR="003C7B9E" w:rsidRPr="000D41E8" w:rsidRDefault="003C7B9E" w:rsidP="000D41E8">
            <w:pPr>
              <w:rPr>
                <w:rFonts w:asciiTheme="majorHAnsi" w:hAnsiTheme="majorHAnsi" w:cstheme="majorHAnsi"/>
                <w:lang w:val="en-US"/>
              </w:rPr>
            </w:pPr>
          </w:p>
        </w:tc>
      </w:tr>
    </w:tbl>
    <w:p w:rsidR="00C42E62" w:rsidRDefault="00C42E62" w:rsidP="000E5352">
      <w:pPr>
        <w:rPr>
          <w:rFonts w:ascii="Arial" w:hAnsi="Arial" w:cs="Arial"/>
          <w:lang w:val="en-US"/>
        </w:rPr>
      </w:pPr>
    </w:p>
    <w:p w:rsidR="000E5352" w:rsidRPr="00072612" w:rsidRDefault="00072612" w:rsidP="000E5352">
      <w:pPr>
        <w:rPr>
          <w:rFonts w:ascii="Arial" w:hAnsi="Arial" w:cs="Arial"/>
          <w:i/>
          <w:lang w:val="en-US"/>
        </w:rPr>
      </w:pPr>
      <w:r w:rsidRPr="00072612">
        <w:rPr>
          <w:rFonts w:ascii="Arial" w:hAnsi="Arial" w:cs="Arial"/>
          <w:i/>
          <w:lang w:val="en-US"/>
        </w:rPr>
        <w:t xml:space="preserve">Note: </w:t>
      </w:r>
      <w:r w:rsidR="000E5352" w:rsidRPr="00072612">
        <w:rPr>
          <w:rFonts w:ascii="Arial" w:hAnsi="Arial" w:cs="Arial"/>
          <w:i/>
          <w:lang w:val="en-US"/>
        </w:rPr>
        <w:t xml:space="preserve">Client Supports should be reported by service providers to the SSM in CaMS within 3 business days of issuing the expenditure. After the details have been reported, the SSM will review for approval. </w:t>
      </w:r>
    </w:p>
    <w:p w:rsidR="00C42E62" w:rsidRPr="00072612" w:rsidRDefault="000E5352">
      <w:pPr>
        <w:rPr>
          <w:rFonts w:ascii="Arial" w:hAnsi="Arial" w:cs="Arial"/>
          <w:i/>
          <w:lang w:val="en-US"/>
        </w:rPr>
      </w:pPr>
      <w:r w:rsidRPr="00072612">
        <w:rPr>
          <w:rFonts w:ascii="Arial" w:hAnsi="Arial" w:cs="Arial"/>
          <w:i/>
          <w:lang w:val="en-US"/>
        </w:rPr>
        <w:lastRenderedPageBreak/>
        <w:t>Employer Supports should be reported by service providers to the SSM in CaMS within 15 business days of completing the placement. All reports will be reviewed and must contain all required information, including attachments of evidence of the expenditure and the Training Incentive Placement Agreement.</w:t>
      </w:r>
    </w:p>
    <w:p w:rsidR="0090370F" w:rsidRPr="00F22E35" w:rsidRDefault="00F22E35">
      <w:pPr>
        <w:rPr>
          <w:b/>
          <w:sz w:val="24"/>
          <w:szCs w:val="24"/>
        </w:rPr>
      </w:pPr>
      <w:r>
        <w:rPr>
          <w:b/>
          <w:sz w:val="24"/>
          <w:szCs w:val="24"/>
        </w:rPr>
        <w:t>1.2 Required Documentation</w:t>
      </w:r>
    </w:p>
    <w:tbl>
      <w:tblPr>
        <w:tblStyle w:val="TableGrid"/>
        <w:tblW w:w="0" w:type="auto"/>
        <w:tblLook w:val="04A0" w:firstRow="1" w:lastRow="0" w:firstColumn="1" w:lastColumn="0" w:noHBand="0" w:noVBand="1"/>
      </w:tblPr>
      <w:tblGrid>
        <w:gridCol w:w="4675"/>
        <w:gridCol w:w="4675"/>
      </w:tblGrid>
      <w:tr w:rsidR="00C8231A" w:rsidTr="00A77372">
        <w:tc>
          <w:tcPr>
            <w:tcW w:w="9350" w:type="dxa"/>
            <w:gridSpan w:val="2"/>
            <w:shd w:val="clear" w:color="auto" w:fill="EDEDED" w:themeFill="accent3" w:themeFillTint="33"/>
          </w:tcPr>
          <w:p w:rsidR="00C8231A" w:rsidRDefault="00C8231A" w:rsidP="00C8231A">
            <w:pPr>
              <w:jc w:val="center"/>
            </w:pPr>
            <w:r>
              <w:t>Employment Related Financial Support Requests: Approved Documentation</w:t>
            </w:r>
          </w:p>
        </w:tc>
      </w:tr>
      <w:tr w:rsidR="00C8231A" w:rsidTr="00C8231A">
        <w:tc>
          <w:tcPr>
            <w:tcW w:w="4675" w:type="dxa"/>
          </w:tcPr>
          <w:p w:rsidR="00F974AD" w:rsidRDefault="00F974AD"/>
          <w:p w:rsidR="00F974AD" w:rsidRDefault="00F974AD"/>
          <w:p w:rsidR="00C8231A" w:rsidRDefault="00C8231A" w:rsidP="00F974AD">
            <w:pPr>
              <w:jc w:val="center"/>
            </w:pPr>
            <w:r>
              <w:t>Job Seeker Financial Requests</w:t>
            </w:r>
          </w:p>
        </w:tc>
        <w:tc>
          <w:tcPr>
            <w:tcW w:w="4675" w:type="dxa"/>
          </w:tcPr>
          <w:p w:rsidR="001677E8" w:rsidRDefault="00F974AD">
            <w:r>
              <w:t>Itemized Receipts; I</w:t>
            </w:r>
            <w:r w:rsidR="00C8231A">
              <w:t>nvoices, Purchase Orders vouchers etc.</w:t>
            </w:r>
          </w:p>
          <w:p w:rsidR="00A77372" w:rsidRPr="00A77372" w:rsidRDefault="00A77372">
            <w:pPr>
              <w:rPr>
                <w:rFonts w:asciiTheme="majorHAnsi" w:hAnsiTheme="majorHAnsi" w:cstheme="majorHAnsi"/>
                <w:i/>
              </w:rPr>
            </w:pPr>
            <w:r>
              <w:rPr>
                <w:rFonts w:asciiTheme="majorHAnsi" w:hAnsiTheme="majorHAnsi" w:cstheme="majorHAnsi"/>
                <w:i/>
                <w:lang w:val="en-US"/>
              </w:rPr>
              <w:t>(</w:t>
            </w:r>
            <w:r w:rsidRPr="00A77372">
              <w:rPr>
                <w:rFonts w:asciiTheme="majorHAnsi" w:hAnsiTheme="majorHAnsi" w:cstheme="majorHAnsi"/>
                <w:i/>
                <w:lang w:val="en-US"/>
              </w:rPr>
              <w:t>The service provider should retain the original documents on file per the requirements of their funding agreement</w:t>
            </w:r>
            <w:r>
              <w:rPr>
                <w:rFonts w:asciiTheme="majorHAnsi" w:hAnsiTheme="majorHAnsi" w:cstheme="majorHAnsi"/>
                <w:i/>
                <w:lang w:val="en-US"/>
              </w:rPr>
              <w:t>)</w:t>
            </w:r>
            <w:r w:rsidRPr="00A77372">
              <w:rPr>
                <w:rFonts w:asciiTheme="majorHAnsi" w:hAnsiTheme="majorHAnsi" w:cstheme="majorHAnsi"/>
                <w:i/>
                <w:lang w:val="en-US"/>
              </w:rPr>
              <w:t>.</w:t>
            </w:r>
          </w:p>
        </w:tc>
      </w:tr>
      <w:tr w:rsidR="00C8231A" w:rsidTr="00C8231A">
        <w:tc>
          <w:tcPr>
            <w:tcW w:w="4675" w:type="dxa"/>
          </w:tcPr>
          <w:p w:rsidR="00C8231A" w:rsidRDefault="00C8231A" w:rsidP="00F974AD">
            <w:pPr>
              <w:jc w:val="center"/>
            </w:pPr>
            <w:r>
              <w:t>Employer Supports</w:t>
            </w:r>
          </w:p>
        </w:tc>
        <w:tc>
          <w:tcPr>
            <w:tcW w:w="4675" w:type="dxa"/>
          </w:tcPr>
          <w:p w:rsidR="00C8231A" w:rsidRDefault="00F974AD" w:rsidP="00DE38B5">
            <w:r>
              <w:t>Training Incentive Placement Agreement and paystubs</w:t>
            </w:r>
          </w:p>
        </w:tc>
      </w:tr>
    </w:tbl>
    <w:p w:rsidR="00660189" w:rsidRPr="00B25CD3" w:rsidRDefault="00B25CD3">
      <w:pPr>
        <w:rPr>
          <w:i/>
        </w:rPr>
      </w:pPr>
      <w:r>
        <w:rPr>
          <w:i/>
        </w:rPr>
        <w:t>Note Documentation consider</w:t>
      </w:r>
      <w:r w:rsidR="00DE38B5">
        <w:rPr>
          <w:i/>
        </w:rPr>
        <w:t>ed</w:t>
      </w:r>
      <w:r>
        <w:rPr>
          <w:i/>
        </w:rPr>
        <w:t xml:space="preserve"> </w:t>
      </w:r>
      <w:r w:rsidRPr="00B25CD3">
        <w:rPr>
          <w:b/>
          <w:i/>
          <w:u w:val="single"/>
        </w:rPr>
        <w:t>NOT</w:t>
      </w:r>
      <w:r w:rsidR="001677E8" w:rsidRPr="00B25CD3">
        <w:rPr>
          <w:i/>
        </w:rPr>
        <w:t xml:space="preserve"> eligible for evidence of expenditures:</w:t>
      </w:r>
    </w:p>
    <w:p w:rsidR="001677E8" w:rsidRPr="001677E8" w:rsidRDefault="001677E8" w:rsidP="001677E8">
      <w:pPr>
        <w:pStyle w:val="ListParagraph"/>
        <w:numPr>
          <w:ilvl w:val="0"/>
          <w:numId w:val="18"/>
        </w:numPr>
        <w:ind w:left="568" w:hanging="284"/>
        <w:rPr>
          <w:rFonts w:asciiTheme="majorHAnsi" w:hAnsiTheme="majorHAnsi" w:cstheme="majorHAnsi"/>
          <w:i/>
        </w:rPr>
      </w:pPr>
      <w:r w:rsidRPr="001677E8">
        <w:rPr>
          <w:rFonts w:asciiTheme="majorHAnsi" w:hAnsiTheme="majorHAnsi" w:cstheme="majorHAnsi"/>
          <w:i/>
        </w:rPr>
        <w:t>Any gift cards provided to clients should be accompanied by an itemized receipt of what was purchased (there is an exception for gas gift cards)</w:t>
      </w:r>
    </w:p>
    <w:p w:rsidR="001677E8" w:rsidRPr="001677E8" w:rsidRDefault="001677E8" w:rsidP="001677E8">
      <w:pPr>
        <w:pStyle w:val="ListParagraph"/>
        <w:numPr>
          <w:ilvl w:val="0"/>
          <w:numId w:val="18"/>
        </w:numPr>
        <w:ind w:left="568" w:hanging="284"/>
        <w:rPr>
          <w:rFonts w:asciiTheme="majorHAnsi" w:hAnsiTheme="majorHAnsi" w:cstheme="majorHAnsi"/>
          <w:i/>
        </w:rPr>
      </w:pPr>
      <w:r w:rsidRPr="001677E8">
        <w:rPr>
          <w:rFonts w:asciiTheme="majorHAnsi" w:hAnsiTheme="majorHAnsi" w:cstheme="majorHAnsi"/>
          <w:i/>
        </w:rPr>
        <w:t>Screenshots of accounts or account payments will not be considered as evidence</w:t>
      </w:r>
    </w:p>
    <w:p w:rsidR="001677E8" w:rsidRPr="001677E8" w:rsidRDefault="001677E8" w:rsidP="001677E8">
      <w:pPr>
        <w:pStyle w:val="ListParagraph"/>
        <w:numPr>
          <w:ilvl w:val="0"/>
          <w:numId w:val="18"/>
        </w:numPr>
        <w:ind w:left="568" w:hanging="284"/>
        <w:rPr>
          <w:rFonts w:asciiTheme="majorHAnsi" w:hAnsiTheme="majorHAnsi" w:cstheme="majorHAnsi"/>
          <w:i/>
        </w:rPr>
      </w:pPr>
      <w:r w:rsidRPr="001677E8">
        <w:rPr>
          <w:rFonts w:asciiTheme="majorHAnsi" w:hAnsiTheme="majorHAnsi" w:cstheme="majorHAnsi"/>
          <w:i/>
        </w:rPr>
        <w:t>Debt payments are not considered legitimate expenses without SSM pre-approval</w:t>
      </w:r>
    </w:p>
    <w:p w:rsidR="001677E8" w:rsidRPr="001677E8" w:rsidRDefault="001677E8" w:rsidP="001677E8">
      <w:pPr>
        <w:pStyle w:val="ListParagraph"/>
        <w:numPr>
          <w:ilvl w:val="0"/>
          <w:numId w:val="18"/>
        </w:numPr>
        <w:ind w:left="568" w:hanging="284"/>
        <w:rPr>
          <w:rFonts w:asciiTheme="majorHAnsi" w:hAnsiTheme="majorHAnsi" w:cstheme="majorHAnsi"/>
          <w:i/>
        </w:rPr>
      </w:pPr>
      <w:r w:rsidRPr="001677E8">
        <w:rPr>
          <w:rFonts w:asciiTheme="majorHAnsi" w:hAnsiTheme="majorHAnsi" w:cstheme="majorHAnsi"/>
          <w:i/>
        </w:rPr>
        <w:t>Purchases from individuals (e.g., handwritten receipts from a buy and sell online group) are not eligible</w:t>
      </w:r>
    </w:p>
    <w:p w:rsidR="001677E8" w:rsidRPr="0090370F" w:rsidRDefault="001677E8" w:rsidP="0090370F">
      <w:pPr>
        <w:pStyle w:val="ListParagraph"/>
        <w:numPr>
          <w:ilvl w:val="0"/>
          <w:numId w:val="18"/>
        </w:numPr>
        <w:ind w:left="568" w:hanging="284"/>
        <w:rPr>
          <w:rFonts w:asciiTheme="majorHAnsi" w:hAnsiTheme="majorHAnsi" w:cstheme="majorHAnsi"/>
          <w:i/>
        </w:rPr>
      </w:pPr>
      <w:r w:rsidRPr="001677E8">
        <w:rPr>
          <w:rFonts w:asciiTheme="majorHAnsi" w:hAnsiTheme="majorHAnsi" w:cstheme="majorHAnsi"/>
          <w:i/>
        </w:rPr>
        <w:t>Credit card receipts without itemized receipts will not be accepted, (e.g., $30 visa charge at a gas station without the receipt to show that gas was purchased)</w:t>
      </w:r>
    </w:p>
    <w:p w:rsidR="001677E8" w:rsidRPr="0090370F" w:rsidRDefault="00F22E35">
      <w:pPr>
        <w:rPr>
          <w:b/>
          <w:sz w:val="24"/>
          <w:szCs w:val="24"/>
        </w:rPr>
      </w:pPr>
      <w:r>
        <w:rPr>
          <w:b/>
          <w:sz w:val="24"/>
          <w:szCs w:val="24"/>
        </w:rPr>
        <w:t>1.3</w:t>
      </w:r>
      <w:r w:rsidR="0090370F" w:rsidRPr="0090370F">
        <w:rPr>
          <w:b/>
          <w:sz w:val="24"/>
          <w:szCs w:val="24"/>
        </w:rPr>
        <w:t xml:space="preserve"> </w:t>
      </w:r>
      <w:r w:rsidR="00DB068A" w:rsidRPr="0090370F">
        <w:rPr>
          <w:b/>
          <w:sz w:val="24"/>
          <w:szCs w:val="24"/>
        </w:rPr>
        <w:t xml:space="preserve">Job Seeker </w:t>
      </w:r>
      <w:r w:rsidR="00F974AD" w:rsidRPr="0090370F">
        <w:rPr>
          <w:b/>
          <w:sz w:val="24"/>
          <w:szCs w:val="24"/>
        </w:rPr>
        <w:t>and Employer F</w:t>
      </w:r>
      <w:r w:rsidR="00DB068A" w:rsidRPr="0090370F">
        <w:rPr>
          <w:b/>
          <w:sz w:val="24"/>
          <w:szCs w:val="24"/>
        </w:rPr>
        <w:t xml:space="preserve">inancial Request: </w:t>
      </w:r>
      <w:r w:rsidR="001677E8" w:rsidRPr="0090370F">
        <w:rPr>
          <w:b/>
          <w:sz w:val="24"/>
          <w:szCs w:val="24"/>
        </w:rPr>
        <w:t>How to</w:t>
      </w:r>
      <w:r w:rsidR="00DB068A" w:rsidRPr="0090370F">
        <w:rPr>
          <w:b/>
          <w:sz w:val="24"/>
          <w:szCs w:val="24"/>
        </w:rPr>
        <w:t xml:space="preserve"> Add</w:t>
      </w:r>
      <w:r w:rsidR="00F974AD" w:rsidRPr="0090370F">
        <w:rPr>
          <w:b/>
          <w:sz w:val="24"/>
          <w:szCs w:val="24"/>
        </w:rPr>
        <w:t xml:space="preserve"> Attachments in CaMS</w:t>
      </w:r>
    </w:p>
    <w:p w:rsidR="0099633E" w:rsidRDefault="0099633E" w:rsidP="0099633E">
      <w:pPr>
        <w:pStyle w:val="ListParagraph"/>
        <w:numPr>
          <w:ilvl w:val="0"/>
          <w:numId w:val="12"/>
        </w:numPr>
        <w:rPr>
          <w:lang w:val="en-US"/>
        </w:rPr>
      </w:pPr>
      <w:r>
        <w:rPr>
          <w:rFonts w:cstheme="minorHAnsi"/>
          <w:color w:val="000000"/>
        </w:rPr>
        <w:t xml:space="preserve">From the home page of the </w:t>
      </w:r>
      <w:r w:rsidRPr="007D2BDD">
        <w:rPr>
          <w:rFonts w:cstheme="minorHAnsi"/>
          <w:color w:val="000000"/>
          <w:u w:val="single"/>
        </w:rPr>
        <w:t>Employment Action Plan</w:t>
      </w:r>
      <w:r w:rsidR="00DE38B5">
        <w:rPr>
          <w:rFonts w:cstheme="minorHAnsi"/>
          <w:color w:val="000000"/>
          <w:u w:val="single"/>
        </w:rPr>
        <w:t>,</w:t>
      </w:r>
      <w:r>
        <w:rPr>
          <w:rFonts w:cstheme="minorHAnsi"/>
          <w:color w:val="000000"/>
        </w:rPr>
        <w:t xml:space="preserve"> </w:t>
      </w:r>
      <w:r>
        <w:rPr>
          <w:lang w:val="en-US"/>
        </w:rPr>
        <w:t>select the “</w:t>
      </w:r>
      <w:r>
        <w:rPr>
          <w:b/>
          <w:lang w:val="en-US"/>
        </w:rPr>
        <w:t>PLAN CONTENT</w:t>
      </w:r>
      <w:r>
        <w:rPr>
          <w:lang w:val="en-US"/>
        </w:rPr>
        <w:t>” tab</w:t>
      </w:r>
    </w:p>
    <w:p w:rsidR="0099633E" w:rsidRPr="00137227" w:rsidRDefault="0099633E" w:rsidP="0099633E">
      <w:pPr>
        <w:pStyle w:val="ListParagraph"/>
        <w:numPr>
          <w:ilvl w:val="0"/>
          <w:numId w:val="12"/>
        </w:numPr>
        <w:rPr>
          <w:lang w:val="en-US"/>
        </w:rPr>
      </w:pPr>
      <w:r>
        <w:rPr>
          <w:lang w:val="en-US"/>
        </w:rPr>
        <w:t xml:space="preserve">From the </w:t>
      </w:r>
      <w:r w:rsidRPr="00676144">
        <w:rPr>
          <w:u w:val="single"/>
          <w:lang w:val="en-US"/>
        </w:rPr>
        <w:t>Plan Content</w:t>
      </w:r>
      <w:r>
        <w:rPr>
          <w:lang w:val="en-US"/>
        </w:rPr>
        <w:t xml:space="preserve"> page</w:t>
      </w:r>
      <w:r w:rsidR="00DE38B5">
        <w:rPr>
          <w:lang w:val="en-US"/>
        </w:rPr>
        <w:t>,</w:t>
      </w:r>
      <w:r>
        <w:rPr>
          <w:lang w:val="en-US"/>
        </w:rPr>
        <w:t xml:space="preserve"> toggle into the designated Financial Support Sub-G</w:t>
      </w:r>
      <w:r w:rsidR="00DE38B5">
        <w:rPr>
          <w:lang w:val="en-US"/>
        </w:rPr>
        <w:t>oal and select the plan item’s e</w:t>
      </w:r>
      <w:r>
        <w:rPr>
          <w:lang w:val="en-US"/>
        </w:rPr>
        <w:t xml:space="preserve">llipses; </w:t>
      </w:r>
      <w:r w:rsidR="00DE38B5">
        <w:rPr>
          <w:lang w:val="en-US"/>
        </w:rPr>
        <w:t>c</w:t>
      </w:r>
      <w:r>
        <w:rPr>
          <w:lang w:val="en-US"/>
        </w:rPr>
        <w:t>lick “</w:t>
      </w:r>
      <w:r>
        <w:rPr>
          <w:b/>
          <w:lang w:val="en-US"/>
        </w:rPr>
        <w:t>ADD ATTACHMENT</w:t>
      </w:r>
      <w:r>
        <w:rPr>
          <w:lang w:val="en-US"/>
        </w:rPr>
        <w:t>”</w:t>
      </w:r>
    </w:p>
    <w:p w:rsidR="0099633E" w:rsidRDefault="0099633E" w:rsidP="0099633E">
      <w:pPr>
        <w:pStyle w:val="ListParagraph"/>
        <w:numPr>
          <w:ilvl w:val="0"/>
          <w:numId w:val="12"/>
        </w:numPr>
        <w:rPr>
          <w:lang w:val="en-US"/>
        </w:rPr>
      </w:pPr>
      <w:r>
        <w:rPr>
          <w:lang w:val="en-US"/>
        </w:rPr>
        <w:t xml:space="preserve">On the </w:t>
      </w:r>
      <w:r w:rsidRPr="000262B4">
        <w:rPr>
          <w:u w:val="single"/>
          <w:lang w:val="en-US"/>
        </w:rPr>
        <w:t>Add Attachment</w:t>
      </w:r>
      <w:r>
        <w:rPr>
          <w:lang w:val="en-US"/>
        </w:rPr>
        <w:t xml:space="preserve"> page</w:t>
      </w:r>
      <w:r w:rsidR="00DE38B5">
        <w:rPr>
          <w:lang w:val="en-US"/>
        </w:rPr>
        <w:t>,</w:t>
      </w:r>
      <w:r>
        <w:rPr>
          <w:lang w:val="en-US"/>
        </w:rPr>
        <w:t xml:space="preserve"> complete all fields; use the browse feature to upload the require</w:t>
      </w:r>
      <w:r w:rsidR="00DE38B5">
        <w:rPr>
          <w:lang w:val="en-US"/>
        </w:rPr>
        <w:t>d documents to CaMS (Document T</w:t>
      </w:r>
      <w:r>
        <w:rPr>
          <w:lang w:val="en-US"/>
        </w:rPr>
        <w:t xml:space="preserve">ype, New File, Receipt Date, Description) </w:t>
      </w:r>
    </w:p>
    <w:p w:rsidR="0090370F" w:rsidRPr="000463AD" w:rsidRDefault="0099633E" w:rsidP="00DB068A">
      <w:pPr>
        <w:pStyle w:val="ListParagraph"/>
        <w:numPr>
          <w:ilvl w:val="0"/>
          <w:numId w:val="12"/>
        </w:numPr>
        <w:rPr>
          <w:lang w:val="en-US"/>
        </w:rPr>
      </w:pPr>
      <w:r>
        <w:rPr>
          <w:lang w:val="en-US"/>
        </w:rPr>
        <w:t>Click “</w:t>
      </w:r>
      <w:r w:rsidRPr="000262B4">
        <w:rPr>
          <w:b/>
          <w:lang w:val="en-US"/>
        </w:rPr>
        <w:t>SAVE</w:t>
      </w:r>
      <w:r>
        <w:rPr>
          <w:lang w:val="en-US"/>
        </w:rPr>
        <w:t>”</w:t>
      </w:r>
    </w:p>
    <w:p w:rsidR="001677E8" w:rsidRPr="0090370F" w:rsidRDefault="00F22E35" w:rsidP="0090370F">
      <w:pPr>
        <w:rPr>
          <w:b/>
          <w:sz w:val="24"/>
          <w:szCs w:val="24"/>
          <w:lang w:val="en-US"/>
        </w:rPr>
      </w:pPr>
      <w:r>
        <w:rPr>
          <w:b/>
          <w:sz w:val="24"/>
          <w:szCs w:val="24"/>
          <w:lang w:val="en-US"/>
        </w:rPr>
        <w:t>1.4</w:t>
      </w:r>
      <w:r w:rsidR="0090370F" w:rsidRPr="0090370F">
        <w:rPr>
          <w:b/>
          <w:sz w:val="24"/>
          <w:szCs w:val="24"/>
          <w:lang w:val="en-US"/>
        </w:rPr>
        <w:t xml:space="preserve"> </w:t>
      </w:r>
      <w:r w:rsidR="00DB068A" w:rsidRPr="0090370F">
        <w:rPr>
          <w:b/>
          <w:sz w:val="24"/>
          <w:szCs w:val="24"/>
          <w:lang w:val="en-US"/>
        </w:rPr>
        <w:t>Complete an Employment Related Financial Support Plan Item</w:t>
      </w:r>
      <w:r w:rsidR="00B11D1B">
        <w:rPr>
          <w:b/>
          <w:sz w:val="24"/>
          <w:szCs w:val="24"/>
          <w:lang w:val="en-US"/>
        </w:rPr>
        <w:t xml:space="preserve"> and Submit for </w:t>
      </w:r>
      <w:r w:rsidR="00DB068A" w:rsidRPr="0090370F">
        <w:rPr>
          <w:b/>
          <w:sz w:val="24"/>
          <w:szCs w:val="24"/>
          <w:lang w:val="en-US"/>
        </w:rPr>
        <w:t xml:space="preserve">Review </w:t>
      </w:r>
    </w:p>
    <w:p w:rsidR="0099633E" w:rsidRDefault="0099633E" w:rsidP="0099633E">
      <w:pPr>
        <w:pStyle w:val="ListParagraph"/>
        <w:numPr>
          <w:ilvl w:val="0"/>
          <w:numId w:val="13"/>
        </w:numPr>
      </w:pPr>
      <w:r>
        <w:t xml:space="preserve">From the </w:t>
      </w:r>
      <w:r w:rsidRPr="007D2BDD">
        <w:rPr>
          <w:u w:val="single"/>
        </w:rPr>
        <w:t>Employment Action Plan</w:t>
      </w:r>
      <w:r>
        <w:t xml:space="preserve"> home page</w:t>
      </w:r>
      <w:r w:rsidR="00DE38B5">
        <w:t>,</w:t>
      </w:r>
      <w:r>
        <w:t xml:space="preserve"> select the Plan Content Tab</w:t>
      </w:r>
    </w:p>
    <w:p w:rsidR="0099633E" w:rsidRDefault="0099633E" w:rsidP="0099633E">
      <w:pPr>
        <w:pStyle w:val="ListParagraph"/>
        <w:numPr>
          <w:ilvl w:val="0"/>
          <w:numId w:val="13"/>
        </w:numPr>
      </w:pPr>
      <w:r>
        <w:t>On the Plan Content page</w:t>
      </w:r>
      <w:r w:rsidR="00DE38B5">
        <w:t>,</w:t>
      </w:r>
      <w:r>
        <w:t xml:space="preserve"> toggle in to the relevant Sub-Goal</w:t>
      </w:r>
    </w:p>
    <w:p w:rsidR="0099633E" w:rsidRDefault="0099633E" w:rsidP="0099633E">
      <w:pPr>
        <w:pStyle w:val="ListParagraph"/>
        <w:numPr>
          <w:ilvl w:val="0"/>
          <w:numId w:val="13"/>
        </w:numPr>
      </w:pPr>
      <w:r>
        <w:t>Click “</w:t>
      </w:r>
      <w:r w:rsidRPr="00822967">
        <w:rPr>
          <w:b/>
        </w:rPr>
        <w:t>EDIT</w:t>
      </w:r>
      <w:r w:rsidR="00DE38B5">
        <w:t>” PLAN ITEM from the e</w:t>
      </w:r>
      <w:r>
        <w:t>llipses next to the relevant plan item</w:t>
      </w:r>
    </w:p>
    <w:p w:rsidR="0099633E" w:rsidRDefault="0099633E" w:rsidP="0099633E">
      <w:pPr>
        <w:pStyle w:val="ListParagraph"/>
        <w:numPr>
          <w:ilvl w:val="0"/>
          <w:numId w:val="13"/>
        </w:numPr>
      </w:pPr>
      <w:r>
        <w:t xml:space="preserve">The </w:t>
      </w:r>
      <w:r w:rsidRPr="0021411B">
        <w:rPr>
          <w:u w:val="single"/>
        </w:rPr>
        <w:t>Modify Plan item</w:t>
      </w:r>
      <w:r>
        <w:t xml:space="preserve"> page will open; complete the necessary fields you would like to edit</w:t>
      </w:r>
    </w:p>
    <w:p w:rsidR="006457B4" w:rsidRDefault="0099633E" w:rsidP="006457B4">
      <w:pPr>
        <w:pStyle w:val="ListParagraph"/>
        <w:numPr>
          <w:ilvl w:val="0"/>
          <w:numId w:val="13"/>
        </w:numPr>
      </w:pPr>
      <w:r>
        <w:t>To complete a Plan Item,  complete all fields:</w:t>
      </w:r>
      <w:r w:rsidR="0090370F">
        <w:t xml:space="preserve"> Actual End Date, Outcome, Cost, HST, Receipt Date, Rationale and Comments if applicable</w:t>
      </w:r>
    </w:p>
    <w:p w:rsidR="00D62C4D" w:rsidRDefault="00D62C4D" w:rsidP="006457B4">
      <w:pPr>
        <w:pStyle w:val="ListParagraph"/>
        <w:numPr>
          <w:ilvl w:val="0"/>
          <w:numId w:val="13"/>
        </w:numPr>
      </w:pPr>
      <w:r>
        <w:t>Check the box “Ready for Review”</w:t>
      </w:r>
    </w:p>
    <w:p w:rsidR="00D62C4D" w:rsidRPr="00D62C4D" w:rsidRDefault="00D62C4D" w:rsidP="00D62C4D">
      <w:pPr>
        <w:pStyle w:val="ListParagraph"/>
        <w:numPr>
          <w:ilvl w:val="0"/>
          <w:numId w:val="23"/>
        </w:numPr>
        <w:rPr>
          <w:i/>
          <w:lang w:val="en-US"/>
        </w:rPr>
      </w:pPr>
      <w:r w:rsidRPr="00D62C4D">
        <w:rPr>
          <w:i/>
          <w:lang w:val="en-US"/>
        </w:rPr>
        <w:t>NOTE: Only when the documents have been received and attached would you submit the verification to SSM. The plan item can be edited once an end</w:t>
      </w:r>
      <w:r>
        <w:rPr>
          <w:i/>
          <w:lang w:val="en-US"/>
        </w:rPr>
        <w:t xml:space="preserve"> date</w:t>
      </w:r>
      <w:r w:rsidRPr="00D62C4D">
        <w:rPr>
          <w:i/>
          <w:lang w:val="en-US"/>
        </w:rPr>
        <w:t xml:space="preserve"> and outcome ha</w:t>
      </w:r>
      <w:r w:rsidR="00DE38B5">
        <w:rPr>
          <w:i/>
          <w:lang w:val="en-US"/>
        </w:rPr>
        <w:t>ve</w:t>
      </w:r>
      <w:r w:rsidRPr="00D62C4D">
        <w:rPr>
          <w:i/>
          <w:lang w:val="en-US"/>
        </w:rPr>
        <w:t xml:space="preserve"> been assigned.   When editing plan item check the box ‘Ready for Review’ and click ‘</w:t>
      </w:r>
      <w:r w:rsidRPr="00D62C4D">
        <w:rPr>
          <w:b/>
          <w:i/>
          <w:lang w:val="en-US"/>
        </w:rPr>
        <w:t>SAVE</w:t>
      </w:r>
      <w:r w:rsidRPr="00D62C4D">
        <w:rPr>
          <w:i/>
          <w:lang w:val="en-US"/>
        </w:rPr>
        <w:t>’</w:t>
      </w:r>
    </w:p>
    <w:p w:rsidR="0099633E" w:rsidRDefault="0099633E" w:rsidP="0099633E">
      <w:pPr>
        <w:pStyle w:val="ListParagraph"/>
        <w:numPr>
          <w:ilvl w:val="0"/>
          <w:numId w:val="13"/>
        </w:numPr>
      </w:pPr>
      <w:r>
        <w:lastRenderedPageBreak/>
        <w:t>Click “</w:t>
      </w:r>
      <w:r w:rsidRPr="00822967">
        <w:rPr>
          <w:b/>
        </w:rPr>
        <w:t>SAVE</w:t>
      </w:r>
      <w:r>
        <w:rPr>
          <w:b/>
        </w:rPr>
        <w:t>”</w:t>
      </w:r>
    </w:p>
    <w:p w:rsidR="00C42E62" w:rsidRDefault="0099633E" w:rsidP="00C42E62">
      <w:pPr>
        <w:pStyle w:val="ListParagraph"/>
        <w:numPr>
          <w:ilvl w:val="0"/>
          <w:numId w:val="13"/>
        </w:numPr>
      </w:pPr>
      <w:r>
        <w:t xml:space="preserve">The </w:t>
      </w:r>
      <w:r w:rsidRPr="00822967">
        <w:rPr>
          <w:u w:val="single"/>
        </w:rPr>
        <w:t>Status</w:t>
      </w:r>
      <w:r>
        <w:t xml:space="preserve">  has now changed to “</w:t>
      </w:r>
      <w:r w:rsidRPr="00822967">
        <w:rPr>
          <w:b/>
        </w:rPr>
        <w:t>COMPLETED</w:t>
      </w:r>
      <w:r>
        <w:t xml:space="preserve">” and the </w:t>
      </w:r>
      <w:r w:rsidRPr="00822967">
        <w:rPr>
          <w:u w:val="single"/>
        </w:rPr>
        <w:t>Outcome</w:t>
      </w:r>
      <w:r>
        <w:t xml:space="preserve"> has now changed to “</w:t>
      </w:r>
      <w:r w:rsidRPr="00822967">
        <w:rPr>
          <w:b/>
        </w:rPr>
        <w:t>ATTAINED</w:t>
      </w:r>
      <w:r>
        <w:t>”  and is displayed on the Plan Content home page</w:t>
      </w:r>
    </w:p>
    <w:p w:rsidR="00B22833" w:rsidRPr="000E5352" w:rsidRDefault="006457B4" w:rsidP="00B22833">
      <w:pPr>
        <w:rPr>
          <w:b/>
          <w:sz w:val="24"/>
          <w:szCs w:val="24"/>
        </w:rPr>
      </w:pPr>
      <w:r w:rsidRPr="000E5352">
        <w:rPr>
          <w:b/>
          <w:sz w:val="24"/>
          <w:szCs w:val="24"/>
        </w:rPr>
        <w:t>1.5 Eligible Expense</w:t>
      </w:r>
      <w:r w:rsidR="000E5352">
        <w:rPr>
          <w:b/>
          <w:sz w:val="24"/>
          <w:szCs w:val="24"/>
        </w:rPr>
        <w:t>s</w:t>
      </w:r>
    </w:p>
    <w:tbl>
      <w:tblPr>
        <w:tblStyle w:val="TableGrid"/>
        <w:tblW w:w="0" w:type="auto"/>
        <w:tblLook w:val="04A0" w:firstRow="1" w:lastRow="0" w:firstColumn="1" w:lastColumn="0" w:noHBand="0" w:noVBand="1"/>
      </w:tblPr>
      <w:tblGrid>
        <w:gridCol w:w="3229"/>
        <w:gridCol w:w="6121"/>
      </w:tblGrid>
      <w:tr w:rsidR="00B22833" w:rsidTr="006457B4">
        <w:tc>
          <w:tcPr>
            <w:tcW w:w="3229" w:type="dxa"/>
            <w:shd w:val="clear" w:color="auto" w:fill="2F5496" w:themeFill="accent5" w:themeFillShade="BF"/>
          </w:tcPr>
          <w:p w:rsidR="00B22833" w:rsidRPr="003B1544" w:rsidRDefault="00B22833" w:rsidP="00B8756F">
            <w:pPr>
              <w:rPr>
                <w:rFonts w:ascii="Arial" w:hAnsi="Arial" w:cs="Arial"/>
                <w:b/>
                <w:color w:val="FFFFFF" w:themeColor="background1"/>
              </w:rPr>
            </w:pPr>
            <w:r w:rsidRPr="003B1544">
              <w:rPr>
                <w:rFonts w:ascii="Arial" w:hAnsi="Arial" w:cs="Arial"/>
                <w:b/>
                <w:color w:val="FFFFFF" w:themeColor="background1"/>
              </w:rPr>
              <w:t>Expense Category</w:t>
            </w:r>
          </w:p>
        </w:tc>
        <w:tc>
          <w:tcPr>
            <w:tcW w:w="6121" w:type="dxa"/>
            <w:shd w:val="clear" w:color="auto" w:fill="2F5496" w:themeFill="accent5" w:themeFillShade="BF"/>
          </w:tcPr>
          <w:p w:rsidR="00B22833" w:rsidRPr="003B1544" w:rsidRDefault="00B22833" w:rsidP="00B8756F">
            <w:pPr>
              <w:rPr>
                <w:rFonts w:ascii="Arial" w:hAnsi="Arial" w:cs="Arial"/>
                <w:b/>
                <w:color w:val="FFFFFF" w:themeColor="background1"/>
              </w:rPr>
            </w:pPr>
            <w:r w:rsidRPr="003B1544">
              <w:rPr>
                <w:rFonts w:ascii="Arial" w:hAnsi="Arial" w:cs="Arial"/>
                <w:b/>
                <w:color w:val="FFFFFF" w:themeColor="background1"/>
              </w:rPr>
              <w:t>Examples</w:t>
            </w:r>
          </w:p>
        </w:tc>
      </w:tr>
      <w:tr w:rsidR="00B22833" w:rsidTr="006457B4">
        <w:tc>
          <w:tcPr>
            <w:tcW w:w="3229" w:type="dxa"/>
          </w:tcPr>
          <w:p w:rsidR="00B22833" w:rsidRDefault="00B22833" w:rsidP="00B8756F">
            <w:r w:rsidRPr="002A4E5E">
              <w:rPr>
                <w:rFonts w:ascii="Arial" w:hAnsi="Arial" w:cs="Arial"/>
                <w:shd w:val="clear" w:color="auto" w:fill="FFFFFF"/>
              </w:rPr>
              <w:t xml:space="preserve">Technology </w:t>
            </w:r>
          </w:p>
        </w:tc>
        <w:tc>
          <w:tcPr>
            <w:tcW w:w="6121" w:type="dxa"/>
          </w:tcPr>
          <w:p w:rsidR="00B22833" w:rsidRPr="002A4E5E" w:rsidRDefault="00B22833" w:rsidP="00B8756F">
            <w:pPr>
              <w:rPr>
                <w:rFonts w:ascii="Arial" w:hAnsi="Arial" w:cs="Arial"/>
                <w:shd w:val="clear" w:color="auto" w:fill="FFFFFF"/>
              </w:rPr>
            </w:pPr>
            <w:r w:rsidRPr="002A4E5E">
              <w:rPr>
                <w:rFonts w:ascii="Arial" w:hAnsi="Arial" w:cs="Arial"/>
                <w:shd w:val="clear" w:color="auto" w:fill="FFFFFF"/>
              </w:rPr>
              <w:t xml:space="preserve">Pre-paid card for cell-phone coverage </w:t>
            </w:r>
          </w:p>
          <w:p w:rsidR="00B22833" w:rsidRPr="002A4E5E" w:rsidRDefault="00B22833" w:rsidP="00B8756F">
            <w:pPr>
              <w:rPr>
                <w:rFonts w:ascii="Arial" w:hAnsi="Arial" w:cs="Arial"/>
                <w:shd w:val="clear" w:color="auto" w:fill="FFFFFF"/>
              </w:rPr>
            </w:pPr>
            <w:r w:rsidRPr="002A4E5E">
              <w:rPr>
                <w:rFonts w:ascii="Arial" w:hAnsi="Arial" w:cs="Arial"/>
                <w:shd w:val="clear" w:color="auto" w:fill="FFFFFF"/>
              </w:rPr>
              <w:t xml:space="preserve">Internet hotspots </w:t>
            </w:r>
          </w:p>
          <w:p w:rsidR="00B22833" w:rsidRDefault="00B22833" w:rsidP="00B8756F">
            <w:r w:rsidRPr="002A4E5E">
              <w:rPr>
                <w:rFonts w:ascii="Arial" w:hAnsi="Arial" w:cs="Arial"/>
                <w:shd w:val="clear" w:color="auto" w:fill="FFFFFF"/>
              </w:rPr>
              <w:t>Devices needed for employment-related activities</w:t>
            </w:r>
          </w:p>
        </w:tc>
      </w:tr>
      <w:tr w:rsidR="00B22833" w:rsidTr="006457B4">
        <w:tc>
          <w:tcPr>
            <w:tcW w:w="3229" w:type="dxa"/>
          </w:tcPr>
          <w:p w:rsidR="00B22833" w:rsidRDefault="00B22833" w:rsidP="00B8756F">
            <w:r w:rsidRPr="004D7B69">
              <w:rPr>
                <w:rFonts w:ascii="Arial" w:hAnsi="Arial" w:cs="Arial"/>
                <w:shd w:val="clear" w:color="auto" w:fill="FFFFFF"/>
              </w:rPr>
              <w:t xml:space="preserve">Short-term transportation expenses </w:t>
            </w:r>
          </w:p>
        </w:tc>
        <w:tc>
          <w:tcPr>
            <w:tcW w:w="6121" w:type="dxa"/>
          </w:tcPr>
          <w:p w:rsidR="00B22833" w:rsidRDefault="00B22833" w:rsidP="00B8756F">
            <w:r>
              <w:rPr>
                <w:rFonts w:ascii="Arial" w:hAnsi="Arial" w:cs="Arial"/>
                <w:shd w:val="clear" w:color="auto" w:fill="FFFFFF"/>
              </w:rPr>
              <w:t xml:space="preserve">Transit fare, </w:t>
            </w:r>
            <w:r w:rsidRPr="004D7B69">
              <w:rPr>
                <w:rFonts w:ascii="Arial" w:hAnsi="Arial" w:cs="Arial"/>
                <w:shd w:val="clear" w:color="auto" w:fill="FFFFFF"/>
              </w:rPr>
              <w:t>g</w:t>
            </w:r>
            <w:r>
              <w:rPr>
                <w:rFonts w:ascii="Arial" w:hAnsi="Arial" w:cs="Arial"/>
                <w:shd w:val="clear" w:color="auto" w:fill="FFFFFF"/>
              </w:rPr>
              <w:t xml:space="preserve">as costs, or car insurance </w:t>
            </w:r>
            <w:r w:rsidRPr="004D7B69">
              <w:rPr>
                <w:rFonts w:ascii="Arial" w:hAnsi="Arial" w:cs="Arial"/>
                <w:shd w:val="clear" w:color="auto" w:fill="FFFFFF"/>
              </w:rPr>
              <w:t>to attend employment-related activities or for onboarding a new job</w:t>
            </w:r>
          </w:p>
        </w:tc>
      </w:tr>
      <w:tr w:rsidR="00B22833" w:rsidTr="006457B4">
        <w:tc>
          <w:tcPr>
            <w:tcW w:w="3229" w:type="dxa"/>
          </w:tcPr>
          <w:p w:rsidR="00B22833" w:rsidRDefault="00B22833" w:rsidP="00B8756F">
            <w:r w:rsidRPr="004D7B69">
              <w:rPr>
                <w:rFonts w:ascii="Arial" w:hAnsi="Arial" w:cs="Arial"/>
                <w:shd w:val="clear" w:color="auto" w:fill="FFFFFF"/>
              </w:rPr>
              <w:t xml:space="preserve">Work clothing or grooming </w:t>
            </w:r>
          </w:p>
        </w:tc>
        <w:tc>
          <w:tcPr>
            <w:tcW w:w="6121" w:type="dxa"/>
          </w:tcPr>
          <w:p w:rsidR="00B22833" w:rsidRDefault="00B22833" w:rsidP="00B8756F">
            <w:r>
              <w:rPr>
                <w:rFonts w:ascii="Arial" w:hAnsi="Arial" w:cs="Arial"/>
                <w:shd w:val="clear" w:color="auto" w:fill="FFFFFF"/>
              </w:rPr>
              <w:t>Clothing or grooming n</w:t>
            </w:r>
            <w:r w:rsidRPr="004D7B69">
              <w:rPr>
                <w:rFonts w:ascii="Arial" w:hAnsi="Arial" w:cs="Arial"/>
                <w:shd w:val="clear" w:color="auto" w:fill="FFFFFF"/>
              </w:rPr>
              <w:t>eeded for employment related activities such as a job interview or for onboarding a new job</w:t>
            </w:r>
          </w:p>
        </w:tc>
      </w:tr>
      <w:tr w:rsidR="00B22833" w:rsidTr="006457B4">
        <w:tc>
          <w:tcPr>
            <w:tcW w:w="3229" w:type="dxa"/>
          </w:tcPr>
          <w:p w:rsidR="00B22833" w:rsidRDefault="00B22833" w:rsidP="00B8756F">
            <w:r w:rsidRPr="004D7B69">
              <w:rPr>
                <w:rFonts w:ascii="Arial" w:hAnsi="Arial" w:cs="Arial"/>
                <w:shd w:val="clear" w:color="auto" w:fill="FFFFFF"/>
              </w:rPr>
              <w:t xml:space="preserve">Special equipment and supplies </w:t>
            </w:r>
          </w:p>
        </w:tc>
        <w:tc>
          <w:tcPr>
            <w:tcW w:w="6121" w:type="dxa"/>
          </w:tcPr>
          <w:p w:rsidR="00B22833" w:rsidRDefault="00B22833" w:rsidP="00B8756F">
            <w:r>
              <w:rPr>
                <w:rFonts w:ascii="Arial" w:hAnsi="Arial" w:cs="Arial"/>
                <w:shd w:val="clear" w:color="auto" w:fill="FFFFFF"/>
              </w:rPr>
              <w:t>S</w:t>
            </w:r>
            <w:r w:rsidRPr="004D7B69">
              <w:rPr>
                <w:rFonts w:ascii="Arial" w:hAnsi="Arial" w:cs="Arial"/>
                <w:shd w:val="clear" w:color="auto" w:fill="FFFFFF"/>
              </w:rPr>
              <w:t>afety equipment (e.g., work boots, safety vest)</w:t>
            </w:r>
            <w:r>
              <w:rPr>
                <w:rFonts w:ascii="Arial" w:hAnsi="Arial" w:cs="Arial"/>
                <w:shd w:val="clear" w:color="auto" w:fill="FFFFFF"/>
              </w:rPr>
              <w:t xml:space="preserve"> </w:t>
            </w:r>
            <w:r w:rsidRPr="004D7B69">
              <w:rPr>
                <w:rFonts w:ascii="Arial" w:hAnsi="Arial" w:cs="Arial"/>
                <w:shd w:val="clear" w:color="auto" w:fill="FFFFFF"/>
              </w:rPr>
              <w:t xml:space="preserve">needed for employment-related activities or onboarding a new </w:t>
            </w:r>
            <w:r w:rsidRPr="00E331E6">
              <w:rPr>
                <w:rFonts w:ascii="Arial" w:hAnsi="Arial" w:cs="Arial"/>
              </w:rPr>
              <w:t>job (except for employer-provided personal protective equipment)</w:t>
            </w:r>
          </w:p>
        </w:tc>
      </w:tr>
      <w:tr w:rsidR="00B22833" w:rsidTr="006457B4">
        <w:tc>
          <w:tcPr>
            <w:tcW w:w="3229" w:type="dxa"/>
          </w:tcPr>
          <w:p w:rsidR="00B22833" w:rsidRDefault="00B22833" w:rsidP="00B8756F">
            <w:r w:rsidRPr="004D7B69">
              <w:rPr>
                <w:rFonts w:ascii="Arial" w:hAnsi="Arial" w:cs="Arial"/>
                <w:shd w:val="clear" w:color="auto" w:fill="FFFFFF"/>
              </w:rPr>
              <w:t xml:space="preserve">Costs related to occupational certification </w:t>
            </w:r>
          </w:p>
        </w:tc>
        <w:tc>
          <w:tcPr>
            <w:tcW w:w="6121" w:type="dxa"/>
          </w:tcPr>
          <w:p w:rsidR="00B22833" w:rsidRDefault="00B22833" w:rsidP="00B8756F">
            <w:pPr>
              <w:rPr>
                <w:rFonts w:ascii="Arial" w:hAnsi="Arial" w:cs="Arial"/>
                <w:shd w:val="clear" w:color="auto" w:fill="FFFFFF"/>
              </w:rPr>
            </w:pPr>
            <w:r>
              <w:rPr>
                <w:rFonts w:ascii="Arial" w:hAnsi="Arial" w:cs="Arial"/>
                <w:shd w:val="clear" w:color="auto" w:fill="FFFFFF"/>
              </w:rPr>
              <w:t xml:space="preserve">Taking an exam </w:t>
            </w:r>
          </w:p>
          <w:p w:rsidR="00B22833" w:rsidRDefault="00B22833" w:rsidP="00B8756F">
            <w:pPr>
              <w:rPr>
                <w:rFonts w:ascii="Arial" w:hAnsi="Arial" w:cs="Arial"/>
                <w:shd w:val="clear" w:color="auto" w:fill="FFFFFF"/>
              </w:rPr>
            </w:pPr>
            <w:r>
              <w:rPr>
                <w:rFonts w:ascii="Arial" w:hAnsi="Arial" w:cs="Arial"/>
                <w:shd w:val="clear" w:color="auto" w:fill="FFFFFF"/>
              </w:rPr>
              <w:t>O</w:t>
            </w:r>
            <w:r w:rsidRPr="004D7B69">
              <w:rPr>
                <w:rFonts w:ascii="Arial" w:hAnsi="Arial" w:cs="Arial"/>
                <w:shd w:val="clear" w:color="auto" w:fill="FFFFFF"/>
              </w:rPr>
              <w:t>btaining documentation verifying completion of education</w:t>
            </w:r>
            <w:r>
              <w:rPr>
                <w:rFonts w:ascii="Arial" w:hAnsi="Arial" w:cs="Arial"/>
                <w:shd w:val="clear" w:color="auto" w:fill="FFFFFF"/>
              </w:rPr>
              <w:t>al/skills training requirements</w:t>
            </w:r>
          </w:p>
          <w:p w:rsidR="00B22833" w:rsidRDefault="00B22833" w:rsidP="00B8756F">
            <w:pPr>
              <w:rPr>
                <w:rFonts w:ascii="Arial" w:hAnsi="Arial" w:cs="Arial"/>
                <w:shd w:val="clear" w:color="auto" w:fill="FFFFFF"/>
              </w:rPr>
            </w:pPr>
            <w:r>
              <w:rPr>
                <w:rFonts w:ascii="Arial" w:hAnsi="Arial" w:cs="Arial"/>
                <w:shd w:val="clear" w:color="auto" w:fill="FFFFFF"/>
              </w:rPr>
              <w:t xml:space="preserve">Language skills assessment </w:t>
            </w:r>
          </w:p>
          <w:p w:rsidR="00B22833" w:rsidRDefault="00B22833" w:rsidP="00B8756F">
            <w:pPr>
              <w:rPr>
                <w:rFonts w:ascii="Arial" w:hAnsi="Arial" w:cs="Arial"/>
                <w:shd w:val="clear" w:color="auto" w:fill="FFFFFF"/>
              </w:rPr>
            </w:pPr>
            <w:r>
              <w:rPr>
                <w:rFonts w:ascii="Arial" w:hAnsi="Arial" w:cs="Arial"/>
                <w:shd w:val="clear" w:color="auto" w:fill="FFFFFF"/>
              </w:rPr>
              <w:t>Academic credential assessment</w:t>
            </w:r>
          </w:p>
          <w:p w:rsidR="00B22833" w:rsidRDefault="00B22833" w:rsidP="00B8756F">
            <w:r w:rsidRPr="004D7B69">
              <w:rPr>
                <w:rFonts w:ascii="Arial" w:hAnsi="Arial" w:cs="Arial"/>
                <w:shd w:val="clear" w:color="auto" w:fill="FFFFFF"/>
              </w:rPr>
              <w:t>Translation of international academic documents</w:t>
            </w:r>
          </w:p>
        </w:tc>
      </w:tr>
      <w:tr w:rsidR="00B22833" w:rsidTr="006457B4">
        <w:tc>
          <w:tcPr>
            <w:tcW w:w="3229" w:type="dxa"/>
          </w:tcPr>
          <w:p w:rsidR="00B22833" w:rsidRDefault="00B22833" w:rsidP="00B8756F">
            <w:r w:rsidRPr="004D7B69">
              <w:rPr>
                <w:rFonts w:ascii="Arial" w:hAnsi="Arial" w:cs="Arial"/>
                <w:shd w:val="clear" w:color="auto" w:fill="FFFFFF"/>
              </w:rPr>
              <w:t xml:space="preserve">Short-term training costs </w:t>
            </w:r>
            <w:r>
              <w:rPr>
                <w:rFonts w:ascii="Arial" w:hAnsi="Arial" w:cs="Arial"/>
                <w:shd w:val="clear" w:color="auto" w:fill="FFFFFF"/>
              </w:rPr>
              <w:br/>
              <w:t>(to be completed within 3 months)</w:t>
            </w:r>
          </w:p>
        </w:tc>
        <w:tc>
          <w:tcPr>
            <w:tcW w:w="6121" w:type="dxa"/>
          </w:tcPr>
          <w:p w:rsidR="00B22833" w:rsidRDefault="00B22833" w:rsidP="00B8756F">
            <w:pPr>
              <w:rPr>
                <w:rFonts w:ascii="Arial" w:hAnsi="Arial" w:cs="Arial"/>
                <w:shd w:val="clear" w:color="auto" w:fill="FFFFFF"/>
              </w:rPr>
            </w:pPr>
            <w:r>
              <w:rPr>
                <w:rFonts w:ascii="Arial" w:hAnsi="Arial" w:cs="Arial"/>
                <w:shd w:val="clear" w:color="auto" w:fill="FFFFFF"/>
              </w:rPr>
              <w:t>Registration fees</w:t>
            </w:r>
          </w:p>
          <w:p w:rsidR="00B22833" w:rsidRDefault="00B22833" w:rsidP="00B8756F">
            <w:pPr>
              <w:rPr>
                <w:rFonts w:ascii="Arial" w:hAnsi="Arial" w:cs="Arial"/>
                <w:shd w:val="clear" w:color="auto" w:fill="FFFFFF"/>
              </w:rPr>
            </w:pPr>
            <w:r>
              <w:rPr>
                <w:rFonts w:ascii="Arial" w:hAnsi="Arial" w:cs="Arial"/>
                <w:shd w:val="clear" w:color="auto" w:fill="FFFFFF"/>
              </w:rPr>
              <w:t>Tools</w:t>
            </w:r>
            <w:r w:rsidRPr="004D7B69">
              <w:rPr>
                <w:rFonts w:ascii="Arial" w:hAnsi="Arial" w:cs="Arial"/>
                <w:shd w:val="clear" w:color="auto" w:fill="FFFFFF"/>
              </w:rPr>
              <w:t xml:space="preserve"> to complete training</w:t>
            </w:r>
          </w:p>
          <w:p w:rsidR="00B22833" w:rsidRDefault="00B22833" w:rsidP="00B8756F">
            <w:r>
              <w:rPr>
                <w:rFonts w:ascii="Arial" w:hAnsi="Arial" w:cs="Arial"/>
                <w:shd w:val="clear" w:color="auto" w:fill="FFFFFF"/>
              </w:rPr>
              <w:t>Client stipends</w:t>
            </w:r>
          </w:p>
        </w:tc>
      </w:tr>
      <w:tr w:rsidR="00B22833" w:rsidTr="006457B4">
        <w:tc>
          <w:tcPr>
            <w:tcW w:w="3229" w:type="dxa"/>
          </w:tcPr>
          <w:p w:rsidR="00B22833" w:rsidRDefault="00B22833" w:rsidP="00B8756F">
            <w:r w:rsidRPr="004D7B69">
              <w:rPr>
                <w:rFonts w:ascii="Arial" w:hAnsi="Arial" w:cs="Arial"/>
                <w:shd w:val="clear" w:color="auto" w:fill="FFFFFF"/>
              </w:rPr>
              <w:t xml:space="preserve">Emergency/infrequent childcare </w:t>
            </w:r>
            <w:r>
              <w:rPr>
                <w:rFonts w:ascii="Arial" w:hAnsi="Arial" w:cs="Arial"/>
                <w:shd w:val="clear" w:color="auto" w:fill="FFFFFF"/>
              </w:rPr>
              <w:br/>
              <w:t>(up to maximum of 2 weeks)</w:t>
            </w:r>
          </w:p>
        </w:tc>
        <w:tc>
          <w:tcPr>
            <w:tcW w:w="6121" w:type="dxa"/>
          </w:tcPr>
          <w:p w:rsidR="00B22833" w:rsidRDefault="00B22833" w:rsidP="00B8756F">
            <w:r>
              <w:rPr>
                <w:rFonts w:ascii="Arial" w:hAnsi="Arial" w:cs="Arial"/>
                <w:shd w:val="clear" w:color="auto" w:fill="FFFFFF"/>
              </w:rPr>
              <w:t>One time childcare (or up to a maximum of 2 weeks) to</w:t>
            </w:r>
            <w:r w:rsidRPr="004D7B69">
              <w:rPr>
                <w:rFonts w:ascii="Arial" w:hAnsi="Arial" w:cs="Arial"/>
                <w:shd w:val="clear" w:color="auto" w:fill="FFFFFF"/>
              </w:rPr>
              <w:t xml:space="preserve"> attend employment-related activities or onboarding a new job</w:t>
            </w:r>
          </w:p>
        </w:tc>
      </w:tr>
      <w:tr w:rsidR="00B22833" w:rsidTr="006457B4">
        <w:tc>
          <w:tcPr>
            <w:tcW w:w="3229" w:type="dxa"/>
          </w:tcPr>
          <w:p w:rsidR="00B22833" w:rsidRDefault="00B22833" w:rsidP="00B8756F">
            <w:r w:rsidRPr="004D7B69">
              <w:rPr>
                <w:rFonts w:ascii="Arial" w:hAnsi="Arial" w:cs="Arial"/>
                <w:shd w:val="clear" w:color="auto" w:fill="FFFFFF"/>
              </w:rPr>
              <w:t>Work-related disability supports</w:t>
            </w:r>
            <w:r>
              <w:rPr>
                <w:rFonts w:ascii="Arial" w:hAnsi="Arial" w:cs="Arial"/>
                <w:shd w:val="clear" w:color="auto" w:fill="FFFFFF"/>
              </w:rPr>
              <w:t xml:space="preserve"> (for those who self-identify as having a disability)</w:t>
            </w:r>
          </w:p>
        </w:tc>
        <w:tc>
          <w:tcPr>
            <w:tcW w:w="6121" w:type="dxa"/>
            <w:tcBorders>
              <w:right w:val="single" w:sz="4" w:space="0" w:color="4472C4" w:themeColor="accent5"/>
            </w:tcBorders>
          </w:tcPr>
          <w:p w:rsidR="00B22833" w:rsidRDefault="00B22833" w:rsidP="00B8756F">
            <w:pPr>
              <w:rPr>
                <w:rFonts w:ascii="Arial" w:hAnsi="Arial" w:cs="Arial"/>
                <w:shd w:val="clear" w:color="auto" w:fill="FFFFFF"/>
              </w:rPr>
            </w:pPr>
            <w:r>
              <w:rPr>
                <w:rFonts w:ascii="Arial" w:hAnsi="Arial" w:cs="Arial"/>
                <w:shd w:val="clear" w:color="auto" w:fill="FFFFFF"/>
              </w:rPr>
              <w:t>D</w:t>
            </w:r>
            <w:r w:rsidRPr="004D7B69">
              <w:rPr>
                <w:rFonts w:ascii="Arial" w:hAnsi="Arial" w:cs="Arial"/>
                <w:shd w:val="clear" w:color="auto" w:fill="FFFFFF"/>
              </w:rPr>
              <w:t xml:space="preserve">iagnostic assessments </w:t>
            </w:r>
            <w:r>
              <w:rPr>
                <w:rFonts w:ascii="Arial" w:hAnsi="Arial" w:cs="Arial"/>
                <w:shd w:val="clear" w:color="auto" w:fill="FFFFFF"/>
              </w:rPr>
              <w:t>of employment capacities</w:t>
            </w:r>
          </w:p>
          <w:p w:rsidR="00B22833" w:rsidRDefault="00B22833" w:rsidP="00B8756F">
            <w:pPr>
              <w:rPr>
                <w:rFonts w:ascii="Arial" w:hAnsi="Arial" w:cs="Arial"/>
                <w:shd w:val="clear" w:color="auto" w:fill="FFFFFF"/>
              </w:rPr>
            </w:pPr>
            <w:r>
              <w:rPr>
                <w:rFonts w:ascii="Arial" w:hAnsi="Arial" w:cs="Arial"/>
                <w:shd w:val="clear" w:color="auto" w:fill="FFFFFF"/>
              </w:rPr>
              <w:t>Work-related assistive devices</w:t>
            </w:r>
          </w:p>
          <w:p w:rsidR="00B22833" w:rsidRDefault="00B22833" w:rsidP="00B8756F">
            <w:pPr>
              <w:rPr>
                <w:rFonts w:ascii="Arial" w:hAnsi="Arial" w:cs="Arial"/>
                <w:shd w:val="clear" w:color="auto" w:fill="FFFFFF"/>
              </w:rPr>
            </w:pPr>
            <w:r>
              <w:rPr>
                <w:rFonts w:ascii="Arial" w:hAnsi="Arial" w:cs="Arial"/>
                <w:shd w:val="clear" w:color="auto" w:fill="FFFFFF"/>
              </w:rPr>
              <w:t>A</w:t>
            </w:r>
            <w:r w:rsidRPr="004D7B69">
              <w:rPr>
                <w:rFonts w:ascii="Arial" w:hAnsi="Arial" w:cs="Arial"/>
                <w:shd w:val="clear" w:color="auto" w:fill="FFFFFF"/>
              </w:rPr>
              <w:t>daptive technology</w:t>
            </w:r>
          </w:p>
          <w:p w:rsidR="00B22833" w:rsidRDefault="00B22833" w:rsidP="00B8756F">
            <w:pPr>
              <w:rPr>
                <w:rFonts w:ascii="Arial" w:hAnsi="Arial" w:cs="Arial"/>
                <w:shd w:val="clear" w:color="auto" w:fill="FFFFFF"/>
              </w:rPr>
            </w:pPr>
            <w:r>
              <w:rPr>
                <w:rFonts w:ascii="Arial" w:hAnsi="Arial" w:cs="Arial"/>
                <w:shd w:val="clear" w:color="auto" w:fill="FFFFFF"/>
              </w:rPr>
              <w:t>Job specific communication skills training</w:t>
            </w:r>
          </w:p>
          <w:p w:rsidR="00B22833" w:rsidRPr="004D7B69" w:rsidRDefault="00B22833" w:rsidP="00B8756F">
            <w:pPr>
              <w:rPr>
                <w:rFonts w:ascii="Arial" w:hAnsi="Arial" w:cs="Arial"/>
                <w:shd w:val="clear" w:color="auto" w:fill="FFFFFF"/>
              </w:rPr>
            </w:pPr>
            <w:r>
              <w:rPr>
                <w:rFonts w:ascii="Arial" w:hAnsi="Arial" w:cs="Arial"/>
                <w:shd w:val="clear" w:color="auto" w:fill="FFFFFF"/>
              </w:rPr>
              <w:t xml:space="preserve">On-the-job supports such as sign language interpreter, reader, note taker </w:t>
            </w:r>
          </w:p>
          <w:p w:rsidR="00B22833" w:rsidRDefault="00B22833" w:rsidP="00B8756F">
            <w:r>
              <w:rPr>
                <w:rFonts w:ascii="Arial" w:hAnsi="Arial" w:cs="Arial"/>
                <w:shd w:val="clear" w:color="auto" w:fill="FFFFFF"/>
              </w:rPr>
              <w:t>O</w:t>
            </w:r>
            <w:r w:rsidRPr="004D7B69">
              <w:rPr>
                <w:rFonts w:ascii="Arial" w:hAnsi="Arial" w:cs="Arial"/>
                <w:shd w:val="clear" w:color="auto" w:fill="FFFFFF"/>
              </w:rPr>
              <w:t xml:space="preserve">thers as </w:t>
            </w:r>
            <w:r>
              <w:rPr>
                <w:rFonts w:ascii="Arial" w:hAnsi="Arial" w:cs="Arial"/>
                <w:shd w:val="clear" w:color="auto" w:fill="FFFFFF"/>
              </w:rPr>
              <w:t xml:space="preserve">deemed </w:t>
            </w:r>
            <w:r w:rsidRPr="004D7B69">
              <w:rPr>
                <w:rFonts w:ascii="Arial" w:hAnsi="Arial" w:cs="Arial"/>
                <w:shd w:val="clear" w:color="auto" w:fill="FFFFFF"/>
              </w:rPr>
              <w:t>appropriate</w:t>
            </w:r>
          </w:p>
        </w:tc>
        <w:bookmarkStart w:id="0" w:name="_GoBack"/>
        <w:bookmarkEnd w:id="0"/>
      </w:tr>
    </w:tbl>
    <w:p w:rsidR="00C42E62" w:rsidRDefault="00C42E62" w:rsidP="006457B4">
      <w:pPr>
        <w:spacing w:after="80"/>
        <w:rPr>
          <w:rFonts w:ascii="Arial" w:hAnsi="Arial" w:cs="Arial"/>
          <w:i/>
          <w:shd w:val="clear" w:color="auto" w:fill="FFFFFF"/>
        </w:rPr>
      </w:pPr>
    </w:p>
    <w:p w:rsidR="006457B4" w:rsidRPr="00C42E62" w:rsidRDefault="006457B4" w:rsidP="006457B4">
      <w:pPr>
        <w:spacing w:after="80"/>
        <w:rPr>
          <w:rFonts w:ascii="Arial" w:hAnsi="Arial" w:cs="Arial"/>
          <w:i/>
          <w:shd w:val="clear" w:color="auto" w:fill="FFFFFF"/>
        </w:rPr>
      </w:pPr>
      <w:r w:rsidRPr="00C42E62">
        <w:rPr>
          <w:rFonts w:ascii="Arial" w:hAnsi="Arial" w:cs="Arial"/>
          <w:i/>
          <w:shd w:val="clear" w:color="auto" w:fill="FFFFFF"/>
        </w:rPr>
        <w:t>Note: Pre-approval of expenses is required by the SSM prior to confirming coverage to a client and providing payment for the expense or ordering the expense in the following circumstances:</w:t>
      </w:r>
    </w:p>
    <w:p w:rsidR="006457B4" w:rsidRDefault="006457B4" w:rsidP="006457B4">
      <w:pPr>
        <w:pStyle w:val="ListParagraph"/>
        <w:numPr>
          <w:ilvl w:val="0"/>
          <w:numId w:val="24"/>
        </w:numPr>
        <w:ind w:left="568" w:hanging="284"/>
        <w:rPr>
          <w:rFonts w:ascii="Arial" w:hAnsi="Arial" w:cs="Arial"/>
          <w:shd w:val="clear" w:color="auto" w:fill="FFFFFF"/>
        </w:rPr>
      </w:pPr>
      <w:r>
        <w:rPr>
          <w:rFonts w:ascii="Arial" w:hAnsi="Arial" w:cs="Arial"/>
          <w:shd w:val="clear" w:color="auto" w:fill="FFFFFF"/>
        </w:rPr>
        <w:t xml:space="preserve">The total amount of the individual item exceeds $1,000.00 </w:t>
      </w:r>
    </w:p>
    <w:p w:rsidR="006457B4" w:rsidRDefault="006457B4" w:rsidP="006457B4">
      <w:pPr>
        <w:pStyle w:val="ListParagraph"/>
        <w:numPr>
          <w:ilvl w:val="0"/>
          <w:numId w:val="24"/>
        </w:numPr>
        <w:ind w:left="568" w:hanging="284"/>
        <w:rPr>
          <w:rFonts w:ascii="Arial" w:hAnsi="Arial" w:cs="Arial"/>
          <w:shd w:val="clear" w:color="auto" w:fill="FFFFFF"/>
        </w:rPr>
      </w:pPr>
      <w:r>
        <w:rPr>
          <w:rFonts w:ascii="Arial" w:hAnsi="Arial" w:cs="Arial"/>
          <w:shd w:val="clear" w:color="auto" w:fill="FFFFFF"/>
        </w:rPr>
        <w:t xml:space="preserve">Total ERFS used for the specific client exceeds $3,500.00 over the course of their Employment Action Plan. </w:t>
      </w:r>
    </w:p>
    <w:p w:rsidR="006457B4" w:rsidRDefault="006457B4" w:rsidP="006457B4">
      <w:pPr>
        <w:pStyle w:val="ListParagraph"/>
        <w:numPr>
          <w:ilvl w:val="0"/>
          <w:numId w:val="24"/>
        </w:numPr>
        <w:ind w:left="568" w:hanging="284"/>
        <w:rPr>
          <w:rFonts w:ascii="Arial" w:hAnsi="Arial" w:cs="Arial"/>
          <w:shd w:val="clear" w:color="auto" w:fill="FFFFFF"/>
        </w:rPr>
      </w:pPr>
      <w:r>
        <w:rPr>
          <w:rFonts w:ascii="Arial" w:hAnsi="Arial" w:cs="Arial"/>
          <w:shd w:val="clear" w:color="auto" w:fill="FFFFFF"/>
        </w:rPr>
        <w:t>The proposed expense is related to servicing debt (e.g., cell phone debt, car payments)</w:t>
      </w:r>
    </w:p>
    <w:p w:rsidR="00B22833" w:rsidRPr="006457B4" w:rsidRDefault="006457B4" w:rsidP="00B22833">
      <w:pPr>
        <w:pStyle w:val="ListParagraph"/>
        <w:numPr>
          <w:ilvl w:val="0"/>
          <w:numId w:val="24"/>
        </w:numPr>
        <w:spacing w:after="0"/>
        <w:ind w:left="568" w:hanging="284"/>
        <w:rPr>
          <w:rFonts w:ascii="Arial" w:hAnsi="Arial" w:cs="Arial"/>
          <w:shd w:val="clear" w:color="auto" w:fill="FFFFFF"/>
        </w:rPr>
      </w:pPr>
      <w:r>
        <w:rPr>
          <w:rFonts w:ascii="Arial" w:hAnsi="Arial" w:cs="Arial"/>
          <w:shd w:val="clear" w:color="auto" w:fill="FFFFFF"/>
        </w:rPr>
        <w:t xml:space="preserve">The proposed expense is not listed in the Eligible Expenses chart above </w:t>
      </w:r>
    </w:p>
    <w:sectPr w:rsidR="00B22833" w:rsidRPr="006457B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BE" w:rsidRDefault="004546BE">
      <w:pPr>
        <w:spacing w:after="0" w:line="240" w:lineRule="auto"/>
      </w:pPr>
      <w:r>
        <w:separator/>
      </w:r>
    </w:p>
  </w:endnote>
  <w:endnote w:type="continuationSeparator" w:id="0">
    <w:p w:rsidR="004546BE" w:rsidRDefault="0045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BE" w:rsidRDefault="004546BE">
      <w:pPr>
        <w:spacing w:after="0" w:line="240" w:lineRule="auto"/>
      </w:pPr>
      <w:r>
        <w:separator/>
      </w:r>
    </w:p>
  </w:footnote>
  <w:footnote w:type="continuationSeparator" w:id="0">
    <w:p w:rsidR="004546BE" w:rsidRDefault="00454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BE" w:rsidRDefault="004546BE" w:rsidP="000E53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ACE"/>
    <w:multiLevelType w:val="hybridMultilevel"/>
    <w:tmpl w:val="58A89E16"/>
    <w:lvl w:ilvl="0" w:tplc="1BE45990">
      <w:start w:val="1"/>
      <w:numFmt w:val="bullet"/>
      <w:lvlText w:val=""/>
      <w:lvlJc w:val="left"/>
      <w:pPr>
        <w:ind w:left="771" w:hanging="360"/>
      </w:pPr>
      <w:rPr>
        <w:rFonts w:ascii="Symbol" w:hAnsi="Symbol" w:hint="default"/>
        <w:sz w:val="20"/>
        <w:szCs w:val="20"/>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 w15:restartNumberingAfterBreak="0">
    <w:nsid w:val="04D504EF"/>
    <w:multiLevelType w:val="hybridMultilevel"/>
    <w:tmpl w:val="C43E1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53676E"/>
    <w:multiLevelType w:val="hybridMultilevel"/>
    <w:tmpl w:val="5BA05BE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092658"/>
    <w:multiLevelType w:val="hybridMultilevel"/>
    <w:tmpl w:val="D7E89E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A27808"/>
    <w:multiLevelType w:val="hybridMultilevel"/>
    <w:tmpl w:val="26A870AC"/>
    <w:lvl w:ilvl="0" w:tplc="10090003">
      <w:start w:val="1"/>
      <w:numFmt w:val="bullet"/>
      <w:lvlText w:val="o"/>
      <w:lvlJc w:val="left"/>
      <w:pPr>
        <w:ind w:left="1364" w:hanging="360"/>
      </w:pPr>
      <w:rPr>
        <w:rFonts w:ascii="Courier New" w:hAnsi="Courier New" w:cs="Courier New"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166D7C79"/>
    <w:multiLevelType w:val="hybridMultilevel"/>
    <w:tmpl w:val="0FB4DF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CF3946"/>
    <w:multiLevelType w:val="hybridMultilevel"/>
    <w:tmpl w:val="AEF69BA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E1773F"/>
    <w:multiLevelType w:val="hybridMultilevel"/>
    <w:tmpl w:val="099C10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6661C5"/>
    <w:multiLevelType w:val="hybridMultilevel"/>
    <w:tmpl w:val="3D821DE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69D175D"/>
    <w:multiLevelType w:val="hybridMultilevel"/>
    <w:tmpl w:val="1E9A7B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8C5184"/>
    <w:multiLevelType w:val="hybridMultilevel"/>
    <w:tmpl w:val="E9F84F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A730B8C"/>
    <w:multiLevelType w:val="hybridMultilevel"/>
    <w:tmpl w:val="61B4AE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9227EC"/>
    <w:multiLevelType w:val="hybridMultilevel"/>
    <w:tmpl w:val="2A44F9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6101AB"/>
    <w:multiLevelType w:val="hybridMultilevel"/>
    <w:tmpl w:val="D9A8B8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646D1C"/>
    <w:multiLevelType w:val="hybridMultilevel"/>
    <w:tmpl w:val="51165104"/>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F121E4"/>
    <w:multiLevelType w:val="hybridMultilevel"/>
    <w:tmpl w:val="D954F4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0D47EB"/>
    <w:multiLevelType w:val="hybridMultilevel"/>
    <w:tmpl w:val="51165104"/>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BF61AF"/>
    <w:multiLevelType w:val="hybridMultilevel"/>
    <w:tmpl w:val="7EF8902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922630F"/>
    <w:multiLevelType w:val="hybridMultilevel"/>
    <w:tmpl w:val="5C4C65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C526F8"/>
    <w:multiLevelType w:val="hybridMultilevel"/>
    <w:tmpl w:val="5BAEBDE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9831FC9"/>
    <w:multiLevelType w:val="hybridMultilevel"/>
    <w:tmpl w:val="51165104"/>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E354C8"/>
    <w:multiLevelType w:val="hybridMultilevel"/>
    <w:tmpl w:val="51165104"/>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6A20608"/>
    <w:multiLevelType w:val="hybridMultilevel"/>
    <w:tmpl w:val="A1FCAE1A"/>
    <w:lvl w:ilvl="0" w:tplc="88A24586">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707EC1"/>
    <w:multiLevelType w:val="hybridMultilevel"/>
    <w:tmpl w:val="1FA0975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1"/>
  </w:num>
  <w:num w:numId="4">
    <w:abstractNumId w:val="4"/>
  </w:num>
  <w:num w:numId="5">
    <w:abstractNumId w:val="12"/>
  </w:num>
  <w:num w:numId="6">
    <w:abstractNumId w:val="14"/>
  </w:num>
  <w:num w:numId="7">
    <w:abstractNumId w:val="5"/>
  </w:num>
  <w:num w:numId="8">
    <w:abstractNumId w:val="17"/>
  </w:num>
  <w:num w:numId="9">
    <w:abstractNumId w:val="1"/>
  </w:num>
  <w:num w:numId="10">
    <w:abstractNumId w:val="13"/>
  </w:num>
  <w:num w:numId="11">
    <w:abstractNumId w:val="11"/>
  </w:num>
  <w:num w:numId="12">
    <w:abstractNumId w:val="18"/>
  </w:num>
  <w:num w:numId="13">
    <w:abstractNumId w:val="3"/>
  </w:num>
  <w:num w:numId="14">
    <w:abstractNumId w:val="10"/>
  </w:num>
  <w:num w:numId="15">
    <w:abstractNumId w:val="15"/>
  </w:num>
  <w:num w:numId="16">
    <w:abstractNumId w:val="19"/>
  </w:num>
  <w:num w:numId="17">
    <w:abstractNumId w:val="7"/>
  </w:num>
  <w:num w:numId="18">
    <w:abstractNumId w:val="0"/>
  </w:num>
  <w:num w:numId="19">
    <w:abstractNumId w:val="23"/>
  </w:num>
  <w:num w:numId="20">
    <w:abstractNumId w:val="8"/>
  </w:num>
  <w:num w:numId="21">
    <w:abstractNumId w:val="6"/>
  </w:num>
  <w:num w:numId="22">
    <w:abstractNumId w:val="9"/>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3F"/>
    <w:rsid w:val="00024DCA"/>
    <w:rsid w:val="000463AD"/>
    <w:rsid w:val="00072612"/>
    <w:rsid w:val="000A4644"/>
    <w:rsid w:val="000B1DCD"/>
    <w:rsid w:val="000C04D5"/>
    <w:rsid w:val="000D41E8"/>
    <w:rsid w:val="000E5352"/>
    <w:rsid w:val="001677E8"/>
    <w:rsid w:val="0019391C"/>
    <w:rsid w:val="001E449B"/>
    <w:rsid w:val="001F1B16"/>
    <w:rsid w:val="001F7973"/>
    <w:rsid w:val="002931F7"/>
    <w:rsid w:val="00297FDE"/>
    <w:rsid w:val="002A6135"/>
    <w:rsid w:val="003214B0"/>
    <w:rsid w:val="0034621B"/>
    <w:rsid w:val="003534CE"/>
    <w:rsid w:val="0039058D"/>
    <w:rsid w:val="003C7B9E"/>
    <w:rsid w:val="004546BE"/>
    <w:rsid w:val="00461646"/>
    <w:rsid w:val="00485EA8"/>
    <w:rsid w:val="00486B0A"/>
    <w:rsid w:val="005008CC"/>
    <w:rsid w:val="00567E5D"/>
    <w:rsid w:val="00580EF7"/>
    <w:rsid w:val="005A3859"/>
    <w:rsid w:val="005D354B"/>
    <w:rsid w:val="006457B4"/>
    <w:rsid w:val="00660189"/>
    <w:rsid w:val="006630BB"/>
    <w:rsid w:val="006B61E0"/>
    <w:rsid w:val="006F3736"/>
    <w:rsid w:val="007161F6"/>
    <w:rsid w:val="0076503F"/>
    <w:rsid w:val="008107B0"/>
    <w:rsid w:val="008A37D9"/>
    <w:rsid w:val="008C3A34"/>
    <w:rsid w:val="0090370F"/>
    <w:rsid w:val="0095517A"/>
    <w:rsid w:val="00983324"/>
    <w:rsid w:val="0099633E"/>
    <w:rsid w:val="009F1F7A"/>
    <w:rsid w:val="00A45113"/>
    <w:rsid w:val="00A77372"/>
    <w:rsid w:val="00A952D6"/>
    <w:rsid w:val="00B11D1B"/>
    <w:rsid w:val="00B22833"/>
    <w:rsid w:val="00B25CD3"/>
    <w:rsid w:val="00BA5D1F"/>
    <w:rsid w:val="00BE3563"/>
    <w:rsid w:val="00BF484D"/>
    <w:rsid w:val="00C35CD6"/>
    <w:rsid w:val="00C42E62"/>
    <w:rsid w:val="00C8231A"/>
    <w:rsid w:val="00CB20BD"/>
    <w:rsid w:val="00D3615E"/>
    <w:rsid w:val="00D45046"/>
    <w:rsid w:val="00D62C4D"/>
    <w:rsid w:val="00DA7D5F"/>
    <w:rsid w:val="00DB068A"/>
    <w:rsid w:val="00DD435F"/>
    <w:rsid w:val="00DE38B5"/>
    <w:rsid w:val="00EA37B2"/>
    <w:rsid w:val="00EF64FB"/>
    <w:rsid w:val="00F0503D"/>
    <w:rsid w:val="00F22E35"/>
    <w:rsid w:val="00F56481"/>
    <w:rsid w:val="00F93DA3"/>
    <w:rsid w:val="00F974AD"/>
    <w:rsid w:val="00FB043C"/>
    <w:rsid w:val="00FC1766"/>
    <w:rsid w:val="00FE0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F458C"/>
  <w15:chartTrackingRefBased/>
  <w15:docId w15:val="{68470A1C-C645-4698-8FBF-E758C1C0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3F"/>
  </w:style>
  <w:style w:type="paragraph" w:styleId="Heading2">
    <w:name w:val="heading 2"/>
    <w:basedOn w:val="Normal"/>
    <w:next w:val="Normal"/>
    <w:link w:val="Heading2Char"/>
    <w:uiPriority w:val="9"/>
    <w:unhideWhenUsed/>
    <w:qFormat/>
    <w:rsid w:val="001677E8"/>
    <w:pPr>
      <w:keepNext/>
      <w:keepLines/>
      <w:spacing w:before="300" w:after="20"/>
      <w:outlineLvl w:val="1"/>
    </w:pPr>
    <w:rPr>
      <w:rFonts w:ascii="Tahoma" w:eastAsiaTheme="majorEastAsia" w:hAnsi="Tahoma"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List (a)_left,List Paragraph no indent,Numbered List Paragraph,table bullets,texte"/>
    <w:basedOn w:val="Normal"/>
    <w:link w:val="ListParagraphChar"/>
    <w:uiPriority w:val="34"/>
    <w:qFormat/>
    <w:rsid w:val="0076503F"/>
    <w:pPr>
      <w:ind w:left="720"/>
      <w:contextualSpacing/>
    </w:pPr>
  </w:style>
  <w:style w:type="paragraph" w:styleId="Title">
    <w:name w:val="Title"/>
    <w:basedOn w:val="Normal"/>
    <w:next w:val="Normal"/>
    <w:link w:val="TitleChar"/>
    <w:uiPriority w:val="10"/>
    <w:qFormat/>
    <w:rsid w:val="007650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0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65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03F"/>
  </w:style>
  <w:style w:type="character" w:customStyle="1" w:styleId="ListParagraphChar">
    <w:name w:val="List Paragraph Char"/>
    <w:aliases w:val="Bullet Char,List (a)_left Char,List Paragraph no indent Char,Numbered List Paragraph Char,table bullets Char,texte Char"/>
    <w:link w:val="ListParagraph"/>
    <w:uiPriority w:val="34"/>
    <w:rsid w:val="001677E8"/>
  </w:style>
  <w:style w:type="character" w:customStyle="1" w:styleId="Heading2Char">
    <w:name w:val="Heading 2 Char"/>
    <w:basedOn w:val="DefaultParagraphFont"/>
    <w:link w:val="Heading2"/>
    <w:uiPriority w:val="9"/>
    <w:rsid w:val="001677E8"/>
    <w:rPr>
      <w:rFonts w:ascii="Tahoma" w:eastAsiaTheme="majorEastAsia" w:hAnsi="Tahoma" w:cstheme="majorBidi"/>
      <w:sz w:val="32"/>
      <w:szCs w:val="26"/>
    </w:rPr>
  </w:style>
  <w:style w:type="paragraph" w:styleId="NormalWeb">
    <w:name w:val="Normal (Web)"/>
    <w:basedOn w:val="Normal"/>
    <w:uiPriority w:val="99"/>
    <w:unhideWhenUsed/>
    <w:rsid w:val="001677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677E8"/>
    <w:rPr>
      <w:b/>
      <w:bCs/>
    </w:rPr>
  </w:style>
  <w:style w:type="paragraph" w:styleId="Footer">
    <w:name w:val="footer"/>
    <w:basedOn w:val="Normal"/>
    <w:link w:val="FooterChar"/>
    <w:uiPriority w:val="99"/>
    <w:unhideWhenUsed/>
    <w:rsid w:val="000E5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Windsor</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Nadine</dc:creator>
  <cp:keywords/>
  <dc:description/>
  <cp:lastModifiedBy>McKague, Julie (She/Her)</cp:lastModifiedBy>
  <cp:revision>21</cp:revision>
  <dcterms:created xsi:type="dcterms:W3CDTF">2024-02-12T17:36:00Z</dcterms:created>
  <dcterms:modified xsi:type="dcterms:W3CDTF">2024-02-20T14:43:00Z</dcterms:modified>
</cp:coreProperties>
</file>